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02" w:rsidRPr="00883F87" w:rsidRDefault="00FC7C02" w:rsidP="00883F87">
      <w:pPr>
        <w:jc w:val="both"/>
        <w:rPr>
          <w:b/>
          <w:bCs/>
        </w:rPr>
      </w:pP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MINISTARSTVO FINANCIJA</w:t>
      </w: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ZAGREB, KATANČIĆEVA 5</w:t>
      </w: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MATIČNI BROJ: 03205991</w:t>
      </w: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OIB : 18683136487</w:t>
      </w: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RAZINA:12</w:t>
      </w:r>
    </w:p>
    <w:p w:rsidR="00FC7C02" w:rsidRPr="00883F87" w:rsidRDefault="00FC7C02" w:rsidP="00883F87">
      <w:pPr>
        <w:tabs>
          <w:tab w:val="left" w:pos="210"/>
        </w:tabs>
        <w:jc w:val="both"/>
        <w:rPr>
          <w:b/>
          <w:bCs/>
        </w:rPr>
      </w:pPr>
      <w:r w:rsidRPr="00883F87">
        <w:rPr>
          <w:b/>
          <w:bCs/>
        </w:rPr>
        <w:t>RAZDJEL:</w:t>
      </w:r>
      <w:r w:rsidR="00AC53E9">
        <w:rPr>
          <w:b/>
          <w:bCs/>
        </w:rPr>
        <w:t xml:space="preserve"> </w:t>
      </w:r>
      <w:r w:rsidRPr="00883F87">
        <w:rPr>
          <w:b/>
          <w:bCs/>
        </w:rPr>
        <w:t>025 MINISTARSTVO FINANCIJA</w:t>
      </w:r>
    </w:p>
    <w:p w:rsidR="00FC7C02" w:rsidRPr="00883F87" w:rsidRDefault="00FC7C02" w:rsidP="00883F87">
      <w:pPr>
        <w:jc w:val="both"/>
        <w:rPr>
          <w:b/>
          <w:bCs/>
        </w:rPr>
      </w:pPr>
    </w:p>
    <w:p w:rsidR="00FC7C02" w:rsidRPr="00883F87" w:rsidRDefault="00FC7C02" w:rsidP="00883F87">
      <w:pPr>
        <w:jc w:val="both"/>
        <w:rPr>
          <w:b/>
          <w:bCs/>
        </w:rPr>
      </w:pPr>
    </w:p>
    <w:p w:rsidR="00FC7C02" w:rsidRPr="00883F87" w:rsidRDefault="00FC7C02" w:rsidP="00883F87">
      <w:pPr>
        <w:jc w:val="both"/>
        <w:rPr>
          <w:b/>
          <w:bCs/>
        </w:rPr>
      </w:pPr>
    </w:p>
    <w:p w:rsidR="00AB2446" w:rsidRPr="00883F87" w:rsidRDefault="00AB2446" w:rsidP="00883F87">
      <w:pPr>
        <w:jc w:val="both"/>
        <w:rPr>
          <w:b/>
          <w:bCs/>
        </w:rPr>
      </w:pPr>
    </w:p>
    <w:p w:rsidR="00AB2446" w:rsidRPr="00883F87" w:rsidRDefault="00AB2446" w:rsidP="00883F87">
      <w:pPr>
        <w:jc w:val="both"/>
        <w:rPr>
          <w:b/>
          <w:bCs/>
        </w:rPr>
      </w:pPr>
    </w:p>
    <w:p w:rsidR="00CD4F43" w:rsidRPr="00883F87" w:rsidRDefault="00CD4F43" w:rsidP="00D878A9">
      <w:pPr>
        <w:jc w:val="center"/>
        <w:rPr>
          <w:b/>
          <w:bCs/>
        </w:rPr>
      </w:pPr>
      <w:r w:rsidRPr="00883F87">
        <w:rPr>
          <w:b/>
          <w:bCs/>
        </w:rPr>
        <w:t>BILJEŠKE UZ</w:t>
      </w:r>
      <w:r w:rsidR="00D878A9">
        <w:rPr>
          <w:b/>
          <w:bCs/>
        </w:rPr>
        <w:t xml:space="preserve"> KONSOLIDAIRANA FINANCIJSKA IZV</w:t>
      </w:r>
      <w:r w:rsidRPr="00883F87">
        <w:rPr>
          <w:b/>
          <w:bCs/>
        </w:rPr>
        <w:t xml:space="preserve">JEŠĆA MINISTARSTVA </w:t>
      </w:r>
      <w:r w:rsidR="00D7682A" w:rsidRPr="00883F87">
        <w:rPr>
          <w:b/>
          <w:bCs/>
        </w:rPr>
        <w:t>FINANCIJA – RAZDJEL 025  ZA 2019</w:t>
      </w:r>
      <w:r w:rsidRPr="00883F87">
        <w:rPr>
          <w:b/>
          <w:bCs/>
        </w:rPr>
        <w:t>. GODINU</w:t>
      </w:r>
    </w:p>
    <w:p w:rsidR="00AB2446" w:rsidRPr="00883F87" w:rsidRDefault="00AB2446" w:rsidP="00883F87">
      <w:pPr>
        <w:jc w:val="both"/>
        <w:rPr>
          <w:b/>
          <w:bCs/>
        </w:rPr>
      </w:pPr>
    </w:p>
    <w:p w:rsidR="00CD4F43" w:rsidRPr="00883F87" w:rsidRDefault="00CD4F43" w:rsidP="00883F87">
      <w:pPr>
        <w:jc w:val="both"/>
        <w:rPr>
          <w:b/>
          <w:bCs/>
        </w:rPr>
      </w:pPr>
    </w:p>
    <w:p w:rsidR="00CD4F43" w:rsidRPr="00883F87" w:rsidRDefault="00CD4F43" w:rsidP="00883F87">
      <w:pPr>
        <w:jc w:val="both"/>
      </w:pPr>
      <w:r w:rsidRPr="00883F87">
        <w:t>U konsolidiranim financijskim izvještajima obuhvaćene su sljedeće glave u razdjelu 025 Ministarstvo financija: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>Glava 05 Ministarstvo financija</w:t>
      </w:r>
      <w:r w:rsidR="00FC7C02" w:rsidRPr="00883F87">
        <w:t>, RKP 20157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>Glava 010 Carinska uprava</w:t>
      </w:r>
      <w:r w:rsidR="00FC7C02" w:rsidRPr="00883F87">
        <w:t>, RKP 20165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>Glava 015 Porezna uprava</w:t>
      </w:r>
      <w:r w:rsidR="00FC7C02" w:rsidRPr="00883F87">
        <w:t>, RKP 20181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>Glava 040 Agencija za reviziju sustava provedbe programa Europske unije</w:t>
      </w:r>
      <w:r w:rsidR="007942FA">
        <w:t xml:space="preserve">, </w:t>
      </w:r>
      <w:r w:rsidR="00AC53E9">
        <w:t>RKP 43732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 xml:space="preserve">Odbor za standarde </w:t>
      </w:r>
      <w:r w:rsidR="007F3350" w:rsidRPr="00883F87">
        <w:t>financijskog izvještavanja</w:t>
      </w:r>
      <w:r w:rsidR="007942FA">
        <w:t>,</w:t>
      </w:r>
      <w:r w:rsidR="007F3350" w:rsidRPr="00883F87">
        <w:t xml:space="preserve"> RKP 49286</w:t>
      </w:r>
    </w:p>
    <w:p w:rsidR="00CD4F43" w:rsidRPr="00883F87" w:rsidRDefault="00CD4F43" w:rsidP="00883F87">
      <w:pPr>
        <w:jc w:val="both"/>
      </w:pPr>
      <w:r w:rsidRPr="00883F87">
        <w:t xml:space="preserve"> </w:t>
      </w:r>
    </w:p>
    <w:p w:rsidR="00CD4F43" w:rsidRPr="00883F87" w:rsidRDefault="00CD4F43" w:rsidP="00883F87">
      <w:pPr>
        <w:jc w:val="both"/>
      </w:pPr>
    </w:p>
    <w:p w:rsidR="00CD4F43" w:rsidRPr="00883F87" w:rsidRDefault="00CD4F43" w:rsidP="00B50580">
      <w:pPr>
        <w:jc w:val="center"/>
        <w:rPr>
          <w:b/>
          <w:u w:val="single"/>
        </w:rPr>
      </w:pPr>
      <w:r w:rsidRPr="00883F87">
        <w:rPr>
          <w:b/>
          <w:u w:val="single"/>
        </w:rPr>
        <w:t>BILJEŠKE UZ BILANCU</w:t>
      </w:r>
    </w:p>
    <w:p w:rsidR="00CD4F43" w:rsidRDefault="00CD4F43" w:rsidP="00883F87">
      <w:pPr>
        <w:jc w:val="both"/>
      </w:pPr>
    </w:p>
    <w:p w:rsidR="00B50580" w:rsidRPr="00883F87" w:rsidRDefault="00B50580" w:rsidP="00883F87">
      <w:pPr>
        <w:jc w:val="both"/>
      </w:pPr>
    </w:p>
    <w:p w:rsidR="00D7682A" w:rsidRPr="00883F87" w:rsidRDefault="00D7682A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AOP 051 i 052 – </w:t>
      </w:r>
      <w:r w:rsidR="00FD41D6" w:rsidRPr="00883F87">
        <w:t>Građevinski objekti, postrojenja i oprema u pripremi, iskazano</w:t>
      </w:r>
      <w:r w:rsidRPr="00883F87">
        <w:t xml:space="preserve"> povećanje </w:t>
      </w:r>
      <w:r w:rsidR="00FD41D6" w:rsidRPr="00883F87">
        <w:t xml:space="preserve">vrijednosti navedene imovine je rezultat </w:t>
      </w:r>
      <w:r w:rsidRPr="00883F87">
        <w:t>ulaganja u izgradnju i opremanje građevinskih objekata na graničnim prijelazima, a čija je gradnja u tijeku u Ministarstvu financija (uži dio)</w:t>
      </w:r>
      <w:r w:rsidR="00FD41D6" w:rsidRPr="00883F87">
        <w:t>. Navedenom porastu su također doprinijele i</w:t>
      </w:r>
      <w:r w:rsidRPr="00883F87">
        <w:t xml:space="preserve"> investi</w:t>
      </w:r>
      <w:r w:rsidR="00293857" w:rsidRPr="00883F87">
        <w:t>c</w:t>
      </w:r>
      <w:r w:rsidR="00FD41D6" w:rsidRPr="00883F87">
        <w:t xml:space="preserve">ije u </w:t>
      </w:r>
      <w:r w:rsidR="00293857" w:rsidRPr="00883F87">
        <w:t>Carinskoj upravi na sanaciji poslovnih prostora koje koriste Područni carinski uredi Rijeka i Osijek kao</w:t>
      </w:r>
      <w:r w:rsidR="00FD41D6" w:rsidRPr="00883F87">
        <w:t xml:space="preserve"> i investicije u tijeku u Poreznoj upravi. Sve navedeno je uzrokovalo porast vrijednosti ukupne imovine na AOP 001.</w:t>
      </w:r>
    </w:p>
    <w:p w:rsidR="00FD41D6" w:rsidRPr="00883F87" w:rsidRDefault="00FD41D6" w:rsidP="00883F87">
      <w:pPr>
        <w:jc w:val="both"/>
      </w:pPr>
    </w:p>
    <w:p w:rsidR="004B34C3" w:rsidRPr="00883F87" w:rsidRDefault="004B34C3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AOP 068 - predstavlja novčana sredstva na deviznom računu Stalnog predstavništva Ministarstva financija u Bruxellesu, a uvećana su zbog povećanih aktivnosti u radu Predstavništva kao i </w:t>
      </w:r>
      <w:r w:rsidR="00FD41D6" w:rsidRPr="00883F87">
        <w:t>zbog povećanja</w:t>
      </w:r>
      <w:r w:rsidRPr="00883F87">
        <w:t xml:space="preserve"> broja upućenih službenika.</w:t>
      </w:r>
    </w:p>
    <w:p w:rsidR="00FD41D6" w:rsidRPr="00883F87" w:rsidRDefault="00FD41D6" w:rsidP="00883F87">
      <w:pPr>
        <w:pStyle w:val="Odlomakpopisa"/>
        <w:jc w:val="both"/>
      </w:pPr>
    </w:p>
    <w:p w:rsidR="004B34C3" w:rsidRPr="00883F87" w:rsidRDefault="004B34C3" w:rsidP="00883F87">
      <w:pPr>
        <w:numPr>
          <w:ilvl w:val="0"/>
          <w:numId w:val="12"/>
        </w:numPr>
        <w:ind w:left="0" w:firstLine="0"/>
        <w:jc w:val="both"/>
      </w:pPr>
      <w:r w:rsidRPr="00883F87">
        <w:t>AOP 073 – ne predstavlja stvarno povećanje potraživanja iz razloga što je u 2018. godini provedena eliminacija potraživanja i obveza za koje je naknadno utvrđeno da ju nije bilo potrebno provesti.</w:t>
      </w:r>
    </w:p>
    <w:p w:rsidR="00FD41D6" w:rsidRPr="00883F87" w:rsidRDefault="00FD41D6" w:rsidP="00883F87">
      <w:pPr>
        <w:jc w:val="both"/>
      </w:pPr>
    </w:p>
    <w:p w:rsidR="004B34C3" w:rsidRPr="00883F87" w:rsidRDefault="004B34C3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AOP 141 – Potraživanja za poreze u Poreznoj upravi povećana su s obzirom </w:t>
      </w:r>
      <w:r w:rsidR="003E20B6" w:rsidRPr="00883F87">
        <w:t>d</w:t>
      </w:r>
      <w:r w:rsidRPr="00883F87">
        <w:t xml:space="preserve">a ove godine obuhvaćaju i potraživanja za porez i prirez na dohodak te spomeničku rentu. Dio potraživanja je naplaćen, dok je dio otpisan radi nastupa zastare. Carinska uprava također bilježi povećanje potraživanja za poreze koje se najvećim dijelom </w:t>
      </w:r>
      <w:r w:rsidR="003E20B6" w:rsidRPr="00883F87">
        <w:t>odnosi na potraživanja za porez na dodanu vrijednost te posebne poreze i trošarinu u tuzemstvu.</w:t>
      </w:r>
    </w:p>
    <w:p w:rsidR="00067B45" w:rsidRPr="00883F87" w:rsidRDefault="00067B45" w:rsidP="00883F87">
      <w:pPr>
        <w:pStyle w:val="Odlomakpopisa"/>
        <w:jc w:val="both"/>
      </w:pPr>
    </w:p>
    <w:p w:rsidR="002A1E54" w:rsidRPr="00883F87" w:rsidRDefault="002A1E54" w:rsidP="00883F87">
      <w:pPr>
        <w:numPr>
          <w:ilvl w:val="0"/>
          <w:numId w:val="12"/>
        </w:numPr>
        <w:ind w:left="0" w:firstLine="0"/>
        <w:jc w:val="both"/>
      </w:pPr>
      <w:r w:rsidRPr="00883F87">
        <w:lastRenderedPageBreak/>
        <w:t>AOP 142 – Potraživanja za doprinose su smanjena obzirom na poreznu reformu te pojačanu aktivnost naplate poreza i doprinosa</w:t>
      </w:r>
      <w:r w:rsidR="00067B45" w:rsidRPr="00883F87">
        <w:t xml:space="preserve"> u Poreznoj upravi</w:t>
      </w:r>
      <w:r w:rsidRPr="00883F87">
        <w:t>. Dio potraživanja je otpisan radi nastupa zastare.</w:t>
      </w:r>
    </w:p>
    <w:p w:rsidR="00067B45" w:rsidRPr="00883F87" w:rsidRDefault="00067B45" w:rsidP="00883F87">
      <w:pPr>
        <w:jc w:val="both"/>
      </w:pPr>
    </w:p>
    <w:p w:rsidR="003E20B6" w:rsidRPr="00AC53E9" w:rsidRDefault="003E20B6" w:rsidP="00883F87">
      <w:pPr>
        <w:numPr>
          <w:ilvl w:val="0"/>
          <w:numId w:val="12"/>
        </w:numPr>
        <w:ind w:left="0" w:firstLine="0"/>
        <w:jc w:val="both"/>
      </w:pPr>
      <w:r w:rsidRPr="00AC53E9">
        <w:t>AOP 145 – Potraživanja za pomoći od međunarodnih organizacija te institucija i tijela EU odnosi se u cijelosti na Agenciju za reviziju sustava provedbe programa EU.</w:t>
      </w:r>
    </w:p>
    <w:p w:rsidR="00067B45" w:rsidRPr="00883F87" w:rsidRDefault="00067B45" w:rsidP="00883F87">
      <w:pPr>
        <w:pStyle w:val="Odlomakpopisa"/>
        <w:jc w:val="both"/>
        <w:rPr>
          <w:color w:val="FF0000"/>
        </w:rPr>
      </w:pPr>
    </w:p>
    <w:p w:rsidR="00067B45" w:rsidRPr="00883F87" w:rsidRDefault="00067B45" w:rsidP="00883F87">
      <w:pPr>
        <w:numPr>
          <w:ilvl w:val="0"/>
          <w:numId w:val="12"/>
        </w:numPr>
        <w:ind w:left="0" w:firstLine="0"/>
        <w:jc w:val="both"/>
      </w:pPr>
      <w:r w:rsidRPr="00883F87">
        <w:t>AOP 152 – Potraživanja za upravne i administrativne pristojbe, pristojbe po posebnim propisima i naknade su znatno povećane zbog provedene promjene u knjiženjima na kontu 16526 u Carinskoj upravi.</w:t>
      </w:r>
    </w:p>
    <w:p w:rsidR="00067B45" w:rsidRPr="00883F87" w:rsidRDefault="00067B45" w:rsidP="00883F87">
      <w:pPr>
        <w:pStyle w:val="Odlomakpopisa"/>
        <w:jc w:val="both"/>
        <w:rPr>
          <w:color w:val="FF0000"/>
        </w:rPr>
      </w:pPr>
    </w:p>
    <w:p w:rsidR="00067B45" w:rsidRPr="00883F87" w:rsidRDefault="00067B45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 AOP 156 – Ispravak vrijedn</w:t>
      </w:r>
      <w:r w:rsidR="00350B17" w:rsidRPr="00883F87">
        <w:t>osti potraživanja je proveden</w:t>
      </w:r>
      <w:r w:rsidRPr="00883F87">
        <w:t xml:space="preserve"> pretežito za sporno naplative poreze i doprin</w:t>
      </w:r>
      <w:r w:rsidR="00350B17" w:rsidRPr="00883F87">
        <w:t>ose, kao i ostala potraživanja Carinske</w:t>
      </w:r>
      <w:r w:rsidRPr="00883F87">
        <w:t xml:space="preserve"> i Porezn</w:t>
      </w:r>
      <w:r w:rsidR="00350B17" w:rsidRPr="00883F87">
        <w:t>e uprave,</w:t>
      </w:r>
      <w:r w:rsidRPr="00883F87">
        <w:t xml:space="preserve"> a sukladno Pravilniku o izmjenama i dopunama Pravilnika o proračunskom računovodstvu i računskom planu</w:t>
      </w:r>
      <w:r w:rsidR="00350B17" w:rsidRPr="00883F87">
        <w:t xml:space="preserve"> (Narodne novine 3/18).</w:t>
      </w:r>
    </w:p>
    <w:p w:rsidR="00350B17" w:rsidRPr="00883F87" w:rsidRDefault="00350B17" w:rsidP="00883F87">
      <w:pPr>
        <w:pStyle w:val="Odlomakpopisa"/>
        <w:jc w:val="both"/>
      </w:pPr>
    </w:p>
    <w:p w:rsidR="005E5F1A" w:rsidRPr="006A5DB7" w:rsidRDefault="005E5F1A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AOP 174 – ostale obveze pretežito predstavljaju  obveze prema poreznim obveznicima za više uplaćena sredstva. </w:t>
      </w:r>
      <w:r w:rsidR="001862A1" w:rsidRPr="00883F87">
        <w:t>U strukturi navedenih obveza nalaze se i obveze za naplaćene EU predujmove temeljem projekta Hercule II</w:t>
      </w:r>
      <w:r w:rsidR="005851D9">
        <w:t xml:space="preserve">I kojeg provodi Carinska </w:t>
      </w:r>
      <w:r w:rsidR="005851D9" w:rsidRPr="006A5DB7">
        <w:t>uprava te obveze za uplaćene jamčevine.</w:t>
      </w:r>
    </w:p>
    <w:p w:rsidR="00350B17" w:rsidRPr="00883F87" w:rsidRDefault="00350B17" w:rsidP="00883F87">
      <w:pPr>
        <w:pStyle w:val="Odlomakpopisa"/>
        <w:jc w:val="both"/>
      </w:pPr>
    </w:p>
    <w:p w:rsidR="001862A1" w:rsidRPr="00883F87" w:rsidRDefault="001862A1" w:rsidP="00883F87">
      <w:pPr>
        <w:numPr>
          <w:ilvl w:val="0"/>
          <w:numId w:val="12"/>
        </w:numPr>
        <w:ind w:left="0" w:firstLine="0"/>
        <w:jc w:val="both"/>
      </w:pPr>
      <w:r w:rsidRPr="00883F87">
        <w:t>AOP 192 i 228 – predstavlja obvezu za financijski leasing za nabavu dva službena automobila od kojih je jedan nabavila Carinska uprava, a jedan Ministarstvo financija (uži dio).</w:t>
      </w:r>
    </w:p>
    <w:p w:rsidR="00350B17" w:rsidRPr="00883F87" w:rsidRDefault="00350B17" w:rsidP="00883F87">
      <w:pPr>
        <w:jc w:val="both"/>
      </w:pPr>
    </w:p>
    <w:p w:rsidR="00CD4F43" w:rsidRPr="00883F87" w:rsidRDefault="00047FDB" w:rsidP="00883F87">
      <w:pPr>
        <w:numPr>
          <w:ilvl w:val="0"/>
          <w:numId w:val="12"/>
        </w:numPr>
        <w:ind w:left="0" w:firstLine="0"/>
        <w:jc w:val="both"/>
      </w:pPr>
      <w:r w:rsidRPr="00883F87">
        <w:t>AOP 232 Višak prihoda i AOP 236</w:t>
      </w:r>
      <w:r w:rsidR="00CD4F43" w:rsidRPr="00883F87">
        <w:t xml:space="preserve"> Manjak prihoda predstavlja ukupno ostvareni</w:t>
      </w:r>
      <w:r w:rsidRPr="00883F87">
        <w:t xml:space="preserve"> v</w:t>
      </w:r>
      <w:r w:rsidR="005E5F1A" w:rsidRPr="00883F87">
        <w:t xml:space="preserve">išak  prihoda u iznosu </w:t>
      </w:r>
      <w:r w:rsidR="00CC4D64" w:rsidRPr="00883F87">
        <w:t>6.613.473 kune,</w:t>
      </w:r>
      <w:r w:rsidR="00CD4F43" w:rsidRPr="00883F87">
        <w:t xml:space="preserve"> a odnosi se na:</w:t>
      </w:r>
    </w:p>
    <w:p w:rsidR="00CD4F43" w:rsidRPr="00883F87" w:rsidRDefault="00047FDB" w:rsidP="00883F87">
      <w:pPr>
        <w:pStyle w:val="Odlomakpopisa"/>
        <w:numPr>
          <w:ilvl w:val="0"/>
          <w:numId w:val="13"/>
        </w:numPr>
        <w:jc w:val="both"/>
      </w:pPr>
      <w:r w:rsidRPr="00883F87">
        <w:t>Ostvareni manjak</w:t>
      </w:r>
      <w:r w:rsidR="00CD4F43" w:rsidRPr="00883F87">
        <w:t xml:space="preserve"> prihoda za Ministarstvo fina</w:t>
      </w:r>
      <w:r w:rsidRPr="00883F87">
        <w:t>nc</w:t>
      </w:r>
      <w:r w:rsidR="001862A1" w:rsidRPr="00883F87">
        <w:t xml:space="preserve">ija (uži dio) u iznosu </w:t>
      </w:r>
      <w:r w:rsidR="006A5DB7">
        <w:t>1.947</w:t>
      </w:r>
      <w:r w:rsidR="001862A1" w:rsidRPr="00883F87">
        <w:t>.776</w:t>
      </w:r>
      <w:r w:rsidR="00CD4F43" w:rsidRPr="00883F87">
        <w:t xml:space="preserve"> kuna</w:t>
      </w:r>
    </w:p>
    <w:p w:rsidR="00CD4F43" w:rsidRPr="00883F87" w:rsidRDefault="00CD4F43" w:rsidP="00883F87">
      <w:pPr>
        <w:pStyle w:val="Odlomakpopisa"/>
        <w:numPr>
          <w:ilvl w:val="0"/>
          <w:numId w:val="13"/>
        </w:numPr>
        <w:jc w:val="both"/>
      </w:pPr>
      <w:r w:rsidRPr="00883F87">
        <w:t xml:space="preserve">Ostvareni </w:t>
      </w:r>
      <w:r w:rsidR="00CC4D64" w:rsidRPr="00883F87">
        <w:t>višak</w:t>
      </w:r>
      <w:r w:rsidRPr="00883F87">
        <w:t xml:space="preserve"> prihoda za Ca</w:t>
      </w:r>
      <w:r w:rsidR="005E5F1A" w:rsidRPr="00883F87">
        <w:t xml:space="preserve">rinsku upravu u iznosu </w:t>
      </w:r>
      <w:r w:rsidR="00CC4D64" w:rsidRPr="00883F87">
        <w:t>2.802.275</w:t>
      </w:r>
      <w:r w:rsidRPr="00883F87">
        <w:t xml:space="preserve"> kuna</w:t>
      </w:r>
    </w:p>
    <w:p w:rsidR="00CD4F43" w:rsidRPr="00883F87" w:rsidRDefault="00047FDB" w:rsidP="00883F87">
      <w:pPr>
        <w:pStyle w:val="Odlomakpopisa"/>
        <w:numPr>
          <w:ilvl w:val="0"/>
          <w:numId w:val="13"/>
        </w:numPr>
        <w:jc w:val="both"/>
      </w:pPr>
      <w:r w:rsidRPr="00883F87">
        <w:t>Ostvareni višak</w:t>
      </w:r>
      <w:r w:rsidR="00CD4F43" w:rsidRPr="00883F87">
        <w:t xml:space="preserve"> prihoda za Po</w:t>
      </w:r>
      <w:r w:rsidR="005E5F1A" w:rsidRPr="00883F87">
        <w:t xml:space="preserve">reznu upravu u iznosu </w:t>
      </w:r>
      <w:r w:rsidR="00CC4D64" w:rsidRPr="00883F87">
        <w:t>5.803.719</w:t>
      </w:r>
      <w:r w:rsidRPr="00883F87">
        <w:t xml:space="preserve"> kun</w:t>
      </w:r>
      <w:r w:rsidR="00CC4D64" w:rsidRPr="00883F87">
        <w:t>a</w:t>
      </w:r>
    </w:p>
    <w:p w:rsidR="00CD4F43" w:rsidRPr="00883F87" w:rsidRDefault="00047FDB" w:rsidP="00883F87">
      <w:pPr>
        <w:pStyle w:val="Odlomakpopisa"/>
        <w:numPr>
          <w:ilvl w:val="0"/>
          <w:numId w:val="13"/>
        </w:numPr>
        <w:jc w:val="both"/>
      </w:pPr>
      <w:r w:rsidRPr="00883F87">
        <w:t xml:space="preserve">Ostvareni manjak prihoda </w:t>
      </w:r>
      <w:r w:rsidR="00CD4F43" w:rsidRPr="00883F87">
        <w:t xml:space="preserve"> za Agenciju za reviziju sustava provedbe progra</w:t>
      </w:r>
      <w:r w:rsidR="005E5F1A" w:rsidRPr="00883F87">
        <w:t xml:space="preserve">ma Europske unije u iznosu </w:t>
      </w:r>
      <w:r w:rsidR="00CC4D64" w:rsidRPr="00883F87">
        <w:t>44.107</w:t>
      </w:r>
      <w:r w:rsidRPr="00883F87">
        <w:t xml:space="preserve"> kun</w:t>
      </w:r>
      <w:r w:rsidR="00CC4D64" w:rsidRPr="00883F87">
        <w:t>a</w:t>
      </w:r>
    </w:p>
    <w:p w:rsidR="00626B32" w:rsidRPr="00883F87" w:rsidRDefault="00047FDB" w:rsidP="00883F87">
      <w:pPr>
        <w:pStyle w:val="Odlomakpopisa"/>
        <w:numPr>
          <w:ilvl w:val="0"/>
          <w:numId w:val="13"/>
        </w:numPr>
        <w:jc w:val="both"/>
      </w:pPr>
      <w:r w:rsidRPr="00883F87">
        <w:t>Ostvareni manjak prihoda Odbora za standarde financi</w:t>
      </w:r>
      <w:r w:rsidR="005E5F1A" w:rsidRPr="00883F87">
        <w:t xml:space="preserve">jskog izvještavanja u iznosu </w:t>
      </w:r>
      <w:r w:rsidR="00CC4D64" w:rsidRPr="00883F87">
        <w:t>638</w:t>
      </w:r>
      <w:r w:rsidRPr="00883F87">
        <w:t xml:space="preserve"> kuna</w:t>
      </w:r>
      <w:r w:rsidR="00CC4D64" w:rsidRPr="00883F87">
        <w:t>.</w:t>
      </w:r>
    </w:p>
    <w:p w:rsidR="00CC4D64" w:rsidRPr="00883F87" w:rsidRDefault="00CC4D64" w:rsidP="00883F87">
      <w:pPr>
        <w:pStyle w:val="Odlomakpopisa"/>
        <w:jc w:val="both"/>
      </w:pPr>
    </w:p>
    <w:p w:rsidR="00CC4D64" w:rsidRPr="00883F87" w:rsidRDefault="00CC4D64" w:rsidP="00883F87">
      <w:pPr>
        <w:pStyle w:val="Odlomakpopisa"/>
        <w:numPr>
          <w:ilvl w:val="0"/>
          <w:numId w:val="12"/>
        </w:numPr>
        <w:ind w:left="0" w:firstLine="0"/>
        <w:jc w:val="both"/>
      </w:pPr>
      <w:r w:rsidRPr="00883F87">
        <w:t>AOP 240 – Obračunati prihodi poslovanja su uvećani zbog knjiženja potraživanja i ispravka vrijednosti potraživanja za poreze i doprinose odnosno obveza za poreze i doprinose.</w:t>
      </w:r>
    </w:p>
    <w:p w:rsidR="005E5F1A" w:rsidRPr="00883F87" w:rsidRDefault="005E5F1A" w:rsidP="00883F87">
      <w:pPr>
        <w:ind w:left="1440"/>
        <w:jc w:val="both"/>
      </w:pPr>
    </w:p>
    <w:p w:rsidR="00A26FBB" w:rsidRPr="00883F87" w:rsidRDefault="00CD4F43" w:rsidP="00320DE5">
      <w:pPr>
        <w:numPr>
          <w:ilvl w:val="0"/>
          <w:numId w:val="12"/>
        </w:numPr>
        <w:ind w:left="0" w:firstLine="0"/>
        <w:jc w:val="both"/>
      </w:pPr>
      <w:r w:rsidRPr="00883F87">
        <w:t>AOP 24</w:t>
      </w:r>
      <w:r w:rsidR="0002641A">
        <w:t>4</w:t>
      </w:r>
      <w:r w:rsidRPr="00883F87">
        <w:t xml:space="preserve"> i 245</w:t>
      </w:r>
      <w:r w:rsidR="00C349E1" w:rsidRPr="00883F87">
        <w:t xml:space="preserve"> - </w:t>
      </w:r>
      <w:r w:rsidRPr="00883F87">
        <w:t xml:space="preserve"> Izvanbilančni zapisi odnose se na:</w:t>
      </w:r>
    </w:p>
    <w:p w:rsidR="00CD4F43" w:rsidRPr="00883F87" w:rsidRDefault="00CD4F43" w:rsidP="00883F87">
      <w:pPr>
        <w:numPr>
          <w:ilvl w:val="0"/>
          <w:numId w:val="14"/>
        </w:numPr>
        <w:jc w:val="both"/>
      </w:pPr>
      <w:r w:rsidRPr="00883F87">
        <w:t xml:space="preserve">Ministarstvo financija (uži dio) – </w:t>
      </w:r>
      <w:r w:rsidR="005851D9" w:rsidRPr="006A5DB7">
        <w:t>15.443.048</w:t>
      </w:r>
      <w:r w:rsidR="00092249" w:rsidRPr="006A5DB7">
        <w:t xml:space="preserve"> </w:t>
      </w:r>
      <w:r w:rsidR="00092249" w:rsidRPr="00883F87">
        <w:t>kuna obuhvaća najvećim dijelom primljene bankovne garancije, zadužnice, garancije za dobro izvršenje posla i garancije za otklanjan</w:t>
      </w:r>
      <w:r w:rsidR="00CC4D64" w:rsidRPr="00883F87">
        <w:t>je nedostataka u garantnom roku i tuđu imovinu dobivenu na korištenje.</w:t>
      </w:r>
    </w:p>
    <w:p w:rsidR="001014C3" w:rsidRPr="00883F87" w:rsidRDefault="00CD4F43" w:rsidP="00883F87">
      <w:pPr>
        <w:numPr>
          <w:ilvl w:val="0"/>
          <w:numId w:val="14"/>
        </w:numPr>
        <w:jc w:val="both"/>
      </w:pPr>
      <w:r w:rsidRPr="00883F87">
        <w:t>Porezna uprava –</w:t>
      </w:r>
      <w:r w:rsidR="005E5F1A" w:rsidRPr="00883F87">
        <w:t xml:space="preserve"> </w:t>
      </w:r>
      <w:r w:rsidR="00CC4D64" w:rsidRPr="00883F87">
        <w:t>241.205.607</w:t>
      </w:r>
      <w:r w:rsidR="00092249" w:rsidRPr="00883F87">
        <w:t xml:space="preserve"> kuna a odnosi se na</w:t>
      </w:r>
      <w:bookmarkStart w:id="0" w:name="_GoBack"/>
      <w:bookmarkEnd w:id="0"/>
      <w:r w:rsidR="00092249" w:rsidRPr="00883F87">
        <w:t xml:space="preserve"> instrumente osiguranja </w:t>
      </w:r>
      <w:r w:rsidR="001014C3" w:rsidRPr="00883F87">
        <w:t>plaćanja i sudske</w:t>
      </w:r>
      <w:r w:rsidR="00715FED" w:rsidRPr="00883F87">
        <w:t xml:space="preserve"> sporov</w:t>
      </w:r>
      <w:r w:rsidR="001014C3" w:rsidRPr="00883F87">
        <w:t>e</w:t>
      </w:r>
      <w:r w:rsidR="00715FED" w:rsidRPr="00883F87">
        <w:t xml:space="preserve"> u tijek</w:t>
      </w:r>
      <w:r w:rsidR="00092249" w:rsidRPr="00883F87">
        <w:t>u</w:t>
      </w:r>
      <w:r w:rsidR="001014C3" w:rsidRPr="00883F87">
        <w:t>.</w:t>
      </w:r>
      <w:r w:rsidR="00092249" w:rsidRPr="00883F87">
        <w:t xml:space="preserve"> </w:t>
      </w:r>
    </w:p>
    <w:p w:rsidR="00CD4F43" w:rsidRPr="00883F87" w:rsidRDefault="00CD4F43" w:rsidP="00883F87">
      <w:pPr>
        <w:numPr>
          <w:ilvl w:val="0"/>
          <w:numId w:val="14"/>
        </w:numPr>
        <w:jc w:val="both"/>
      </w:pPr>
      <w:r w:rsidRPr="00883F87">
        <w:t xml:space="preserve">Carinska uprava – </w:t>
      </w:r>
      <w:r w:rsidR="005E5F1A" w:rsidRPr="00883F87">
        <w:t xml:space="preserve"> </w:t>
      </w:r>
      <w:r w:rsidR="001014C3" w:rsidRPr="00883F87">
        <w:t xml:space="preserve">4.790.730.479 </w:t>
      </w:r>
      <w:r w:rsidR="00092249" w:rsidRPr="00883F87">
        <w:t>k</w:t>
      </w:r>
      <w:r w:rsidR="005E3554" w:rsidRPr="00883F87">
        <w:t>una</w:t>
      </w:r>
      <w:r w:rsidR="001014C3" w:rsidRPr="00883F87">
        <w:t>,</w:t>
      </w:r>
      <w:r w:rsidR="005E3554" w:rsidRPr="00883F87">
        <w:t xml:space="preserve"> a odnosi</w:t>
      </w:r>
      <w:r w:rsidR="001014C3" w:rsidRPr="00883F87">
        <w:t xml:space="preserve"> se </w:t>
      </w:r>
      <w:r w:rsidR="0002641A">
        <w:t>na instrumen</w:t>
      </w:r>
      <w:r w:rsidR="001014C3" w:rsidRPr="00883F87">
        <w:t>te</w:t>
      </w:r>
      <w:r w:rsidR="005E3554" w:rsidRPr="00883F87">
        <w:t xml:space="preserve"> osiguranja </w:t>
      </w:r>
      <w:r w:rsidR="001014C3" w:rsidRPr="00883F87">
        <w:t>plaćanja u carinskom poslovanju, na službena vozila nabavljena putem operativnog leasinga, potencijalne obveze po sudskim sporovima i tuđu imovinu dobivenu na korištenje.</w:t>
      </w:r>
    </w:p>
    <w:p w:rsidR="00AB2446" w:rsidRPr="00883F87" w:rsidRDefault="00AB2446" w:rsidP="00883F87">
      <w:pPr>
        <w:ind w:left="720"/>
        <w:jc w:val="both"/>
      </w:pPr>
    </w:p>
    <w:p w:rsidR="00CD4F43" w:rsidRPr="00883F87" w:rsidRDefault="00CD4F43" w:rsidP="00883F87">
      <w:pPr>
        <w:jc w:val="both"/>
      </w:pPr>
    </w:p>
    <w:p w:rsidR="001014C3" w:rsidRPr="00883F87" w:rsidRDefault="001014C3" w:rsidP="00883F87">
      <w:pPr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D878A9">
      <w:pPr>
        <w:jc w:val="center"/>
        <w:rPr>
          <w:b/>
          <w:u w:val="single"/>
        </w:rPr>
      </w:pPr>
      <w:r w:rsidRPr="00883F87">
        <w:rPr>
          <w:b/>
          <w:u w:val="single"/>
        </w:rPr>
        <w:lastRenderedPageBreak/>
        <w:t>BILJEŠKE UZ IZVJEŠTAJ O PRIHODIMA I RASHODIMA, PRIMICIMA I IZDACIMA</w:t>
      </w:r>
    </w:p>
    <w:p w:rsidR="004864FA" w:rsidRDefault="004864FA" w:rsidP="00883F87">
      <w:pPr>
        <w:jc w:val="both"/>
        <w:rPr>
          <w:b/>
        </w:rPr>
      </w:pPr>
    </w:p>
    <w:p w:rsidR="00B50580" w:rsidRPr="00883F87" w:rsidRDefault="00B50580" w:rsidP="00883F87">
      <w:pPr>
        <w:jc w:val="both"/>
        <w:rPr>
          <w:b/>
        </w:rPr>
      </w:pPr>
    </w:p>
    <w:p w:rsidR="004864FA" w:rsidRPr="00883F87" w:rsidRDefault="004864FA" w:rsidP="00B50580">
      <w:pPr>
        <w:jc w:val="both"/>
      </w:pPr>
    </w:p>
    <w:p w:rsidR="00C63708" w:rsidRPr="00883F87" w:rsidRDefault="00B50580" w:rsidP="00B50580">
      <w:pPr>
        <w:pStyle w:val="Odlomakpopisa"/>
        <w:ind w:left="0"/>
        <w:jc w:val="both"/>
      </w:pPr>
      <w:r>
        <w:t xml:space="preserve">1. </w:t>
      </w:r>
      <w:r>
        <w:tab/>
      </w:r>
      <w:r w:rsidR="00BF5111" w:rsidRPr="00883F87">
        <w:t>AOP 052</w:t>
      </w:r>
      <w:r w:rsidR="00EA5D02" w:rsidRPr="00883F87">
        <w:t xml:space="preserve"> – tekuće pomoći od institucija i tijela EU</w:t>
      </w:r>
      <w:r w:rsidR="00C63708" w:rsidRPr="00883F87">
        <w:t xml:space="preserve"> </w:t>
      </w:r>
      <w:r w:rsidR="0045314E" w:rsidRPr="00883F87">
        <w:t>povećane su pretežito zbog realizacije projekta Daljnje usklađivanje Carinske uprave s pravnom stečevinom europske unije u području</w:t>
      </w:r>
      <w:r w:rsidR="00C63708" w:rsidRPr="00883F87">
        <w:t xml:space="preserve"> obavljanja inspekcijskih nadzora (Prijelazni instrument) i na pomoći ostvarene s osnova projekta</w:t>
      </w:r>
      <w:r w:rsidR="0045314E" w:rsidRPr="00883F87">
        <w:t xml:space="preserve"> Customs 2020 te refundacije putnih troškova službeni</w:t>
      </w:r>
      <w:r w:rsidR="00C63708" w:rsidRPr="00883F87">
        <w:t>h putovanja delegata Vijeća EU i operativni program učinkoviti ljudski potencijali te pomoći s osnova projekta Celbet II.</w:t>
      </w:r>
    </w:p>
    <w:p w:rsidR="00C63708" w:rsidRPr="00883F87" w:rsidRDefault="00C63708" w:rsidP="00B50580">
      <w:pPr>
        <w:pStyle w:val="Odlomakpopisa"/>
        <w:ind w:left="0"/>
        <w:jc w:val="both"/>
      </w:pPr>
    </w:p>
    <w:p w:rsidR="00CD4F43" w:rsidRPr="00883F87" w:rsidRDefault="00C63708" w:rsidP="00B50580">
      <w:pPr>
        <w:pStyle w:val="Odlomakpopisa"/>
        <w:numPr>
          <w:ilvl w:val="0"/>
          <w:numId w:val="17"/>
        </w:numPr>
        <w:ind w:left="0" w:firstLine="0"/>
        <w:jc w:val="both"/>
      </w:pPr>
      <w:r w:rsidRPr="00883F87">
        <w:t>AOP 053 – kapitalne pomoći od institucija i tijela EU su se smanjile zbog okončanja re</w:t>
      </w:r>
      <w:r w:rsidR="0002641A">
        <w:t>a</w:t>
      </w:r>
      <w:r w:rsidRPr="00883F87">
        <w:t>lizacije projekta Hercule III, a u tekućoj godini navedeni iznos odnosi na nabavu računalne opreme kroz Operativni program učinkoviti ljudski potencijali i ostale investicije kroz projekt Modernizacija i opremanje Carinske uprave.</w:t>
      </w:r>
    </w:p>
    <w:p w:rsidR="00C63708" w:rsidRPr="00883F87" w:rsidRDefault="00C63708" w:rsidP="00B50580">
      <w:pPr>
        <w:jc w:val="both"/>
      </w:pPr>
    </w:p>
    <w:p w:rsidR="00440355" w:rsidRPr="00883F87" w:rsidRDefault="00E861DD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AOP 058 </w:t>
      </w:r>
      <w:r w:rsidR="008F4E1C" w:rsidRPr="00883F87">
        <w:t xml:space="preserve"> - </w:t>
      </w:r>
      <w:r w:rsidR="008B42C8" w:rsidRPr="00883F87">
        <w:t xml:space="preserve">tekuće pomoći od izvanproračunskih korisnika </w:t>
      </w:r>
      <w:r w:rsidR="008F4E1C" w:rsidRPr="00883F87">
        <w:t>odnosi se na prihod od HZZ-a za osobe na stručnom usavršavanju bez zasnivanja radnog odnosa</w:t>
      </w:r>
      <w:r w:rsidR="00440355" w:rsidRPr="00883F87">
        <w:t>.</w:t>
      </w:r>
    </w:p>
    <w:p w:rsidR="00440355" w:rsidRPr="00883F87" w:rsidRDefault="00440355" w:rsidP="00B50580">
      <w:pPr>
        <w:jc w:val="both"/>
      </w:pPr>
    </w:p>
    <w:p w:rsidR="00440355" w:rsidRPr="00883F87" w:rsidRDefault="00467B60" w:rsidP="00B50580">
      <w:pPr>
        <w:numPr>
          <w:ilvl w:val="0"/>
          <w:numId w:val="17"/>
        </w:numPr>
        <w:ind w:left="0" w:firstLine="0"/>
        <w:jc w:val="both"/>
      </w:pPr>
      <w:r w:rsidRPr="00883F87">
        <w:t>AOP 126 – Prihodi od pruženih usluga</w:t>
      </w:r>
      <w:r w:rsidR="0045314E" w:rsidRPr="00883F87">
        <w:t xml:space="preserve"> povećani su pretežno </w:t>
      </w:r>
      <w:r w:rsidR="00440355" w:rsidRPr="00883F87">
        <w:t>više cijene zakupnine koje Porezna uprava naplaćuje za poslovne prostore koje daje u zakup.</w:t>
      </w:r>
    </w:p>
    <w:p w:rsidR="00440355" w:rsidRPr="00883F87" w:rsidRDefault="00440355" w:rsidP="00B50580">
      <w:pPr>
        <w:jc w:val="both"/>
      </w:pPr>
    </w:p>
    <w:p w:rsidR="00783343" w:rsidRPr="00883F87" w:rsidRDefault="00783343" w:rsidP="00B50580">
      <w:pPr>
        <w:numPr>
          <w:ilvl w:val="0"/>
          <w:numId w:val="17"/>
        </w:numPr>
        <w:ind w:left="0" w:firstLine="0"/>
        <w:jc w:val="both"/>
      </w:pPr>
      <w:r w:rsidRPr="00883F87">
        <w:t>AOP 133</w:t>
      </w:r>
      <w:r w:rsidR="00B50580">
        <w:t xml:space="preserve"> </w:t>
      </w:r>
      <w:r w:rsidR="00B50580" w:rsidRPr="00883F87">
        <w:t>–</w:t>
      </w:r>
      <w:r w:rsidRPr="00883F87">
        <w:t xml:space="preserve"> prihodi su povećani zbog intenziviranja aktivnosti na izgradnji graničnih prijelaza u Ministarstvu financija te ulaganja u računalnu opremu</w:t>
      </w:r>
      <w:r w:rsidR="00F24C21" w:rsidRPr="00883F87">
        <w:t>, službena vozila i dodatna ulaganja na građevinskim objektima</w:t>
      </w:r>
      <w:r w:rsidRPr="00883F87">
        <w:t xml:space="preserve"> Carinske uprave</w:t>
      </w:r>
      <w:r w:rsidR="00F24C21" w:rsidRPr="00883F87">
        <w:t>.</w:t>
      </w:r>
    </w:p>
    <w:p w:rsidR="00440355" w:rsidRPr="00883F87" w:rsidRDefault="00440355" w:rsidP="00B50580">
      <w:pPr>
        <w:jc w:val="both"/>
      </w:pPr>
    </w:p>
    <w:p w:rsidR="00EE3E34" w:rsidRPr="00883F87" w:rsidRDefault="00EE3E34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AOP 153 – </w:t>
      </w:r>
      <w:r w:rsidR="00A027A2" w:rsidRPr="00883F87">
        <w:t xml:space="preserve">do povećanja plaća za prekovremeni rad došlo je zbog povećanog opsega posla sukladno potrebama službe i to pretežito zbog </w:t>
      </w:r>
      <w:r w:rsidRPr="00883F87">
        <w:t xml:space="preserve"> intenziviranja rada inspektora na poslovima fiskalizacije i ovrhe na terenu u Poreznoj upravi.</w:t>
      </w:r>
    </w:p>
    <w:p w:rsidR="00F24C21" w:rsidRPr="00883F87" w:rsidRDefault="00F24C21" w:rsidP="00B50580">
      <w:pPr>
        <w:jc w:val="both"/>
      </w:pPr>
    </w:p>
    <w:p w:rsidR="00EE3E34" w:rsidRPr="00883F87" w:rsidRDefault="00EE3E34" w:rsidP="00B50580">
      <w:pPr>
        <w:numPr>
          <w:ilvl w:val="0"/>
          <w:numId w:val="17"/>
        </w:numPr>
        <w:ind w:left="0" w:firstLine="0"/>
        <w:jc w:val="both"/>
      </w:pPr>
      <w:r w:rsidRPr="00883F87">
        <w:t>AOP 162 – rashodi za službena putovanja povećani su zbog provedbe obveznih poslovnih aktivnosti prisustvovanjem na tijelima Europske unije.</w:t>
      </w:r>
    </w:p>
    <w:p w:rsidR="00F24C21" w:rsidRPr="00883F87" w:rsidRDefault="00F24C21" w:rsidP="00B50580">
      <w:pPr>
        <w:jc w:val="both"/>
      </w:pPr>
    </w:p>
    <w:p w:rsidR="00F24C21" w:rsidRPr="00883F87" w:rsidRDefault="00F24C21" w:rsidP="00B50580">
      <w:pPr>
        <w:numPr>
          <w:ilvl w:val="0"/>
          <w:numId w:val="17"/>
        </w:numPr>
        <w:ind w:left="0" w:firstLine="0"/>
        <w:jc w:val="both"/>
      </w:pPr>
      <w:r w:rsidRPr="00883F87">
        <w:t>AOP 179</w:t>
      </w:r>
      <w:r w:rsidR="00B50580">
        <w:t xml:space="preserve"> </w:t>
      </w:r>
      <w:r w:rsidR="00B50580" w:rsidRPr="00883F87">
        <w:t>–</w:t>
      </w:r>
      <w:r w:rsidRPr="00883F87">
        <w:t xml:space="preserve"> rashodi za zakupnine i najamnine bilježe pad</w:t>
      </w:r>
      <w:r w:rsidR="001714CF" w:rsidRPr="00883F87">
        <w:t xml:space="preserve"> zbog</w:t>
      </w:r>
      <w:r w:rsidRPr="00883F87">
        <w:t xml:space="preserve"> </w:t>
      </w:r>
      <w:r w:rsidR="001714CF" w:rsidRPr="00883F87">
        <w:t>što nije okončan postupak</w:t>
      </w:r>
      <w:r w:rsidRPr="00883F87">
        <w:t xml:space="preserve"> javne nabave jednogodišnjih licenci</w:t>
      </w:r>
      <w:r w:rsidR="001714CF" w:rsidRPr="00883F87">
        <w:t xml:space="preserve"> u tekućoj godini.</w:t>
      </w:r>
    </w:p>
    <w:p w:rsidR="001714CF" w:rsidRPr="00883F87" w:rsidRDefault="001714CF" w:rsidP="00B50580">
      <w:pPr>
        <w:jc w:val="both"/>
      </w:pPr>
    </w:p>
    <w:p w:rsidR="001714CF" w:rsidRPr="00883F87" w:rsidRDefault="001714CF" w:rsidP="00B50580">
      <w:pPr>
        <w:numPr>
          <w:ilvl w:val="0"/>
          <w:numId w:val="17"/>
        </w:numPr>
        <w:ind w:left="0" w:firstLine="0"/>
        <w:jc w:val="both"/>
      </w:pPr>
      <w:r w:rsidRPr="00883F87">
        <w:t>AOP 183 – rashodi ostale usluge bilježe rast zbog troškova zaštitarskih usluga te usluga čišćenja s obzirom na porast cijena navedenih usluga na tržištu.</w:t>
      </w:r>
    </w:p>
    <w:p w:rsidR="001714CF" w:rsidRPr="00883F87" w:rsidRDefault="001714CF" w:rsidP="00B50580">
      <w:pPr>
        <w:jc w:val="both"/>
      </w:pPr>
    </w:p>
    <w:p w:rsidR="00F8286F" w:rsidRDefault="001714CF" w:rsidP="00AF18E0">
      <w:pPr>
        <w:numPr>
          <w:ilvl w:val="0"/>
          <w:numId w:val="17"/>
        </w:numPr>
        <w:ind w:left="0" w:firstLine="0"/>
        <w:jc w:val="both"/>
      </w:pPr>
      <w:r w:rsidRPr="00AC53E9">
        <w:t xml:space="preserve"> AOP 188 – </w:t>
      </w:r>
      <w:r w:rsidR="00F8286F" w:rsidRPr="00AC53E9">
        <w:t xml:space="preserve">rashodi za reprezentaciju, u strukturi navedenog rashoda </w:t>
      </w:r>
      <w:r w:rsidRPr="00AC53E9">
        <w:t xml:space="preserve">najveći rast </w:t>
      </w:r>
      <w:r w:rsidR="00F8286F" w:rsidRPr="00AC53E9">
        <w:t xml:space="preserve">bilježi </w:t>
      </w:r>
      <w:r w:rsidR="00F85501">
        <w:t xml:space="preserve">Agencija </w:t>
      </w:r>
      <w:r w:rsidR="00AC53E9" w:rsidRPr="00AC53E9">
        <w:t>za reviziju sustava provedbe programa EU</w:t>
      </w:r>
      <w:r w:rsidR="00AC53E9">
        <w:t>.</w:t>
      </w:r>
    </w:p>
    <w:p w:rsidR="00AC53E9" w:rsidRPr="00883F87" w:rsidRDefault="00AC53E9" w:rsidP="00AC53E9">
      <w:pPr>
        <w:jc w:val="both"/>
      </w:pPr>
    </w:p>
    <w:p w:rsidR="0044542F" w:rsidRPr="00883F87" w:rsidRDefault="00F8286F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 </w:t>
      </w:r>
      <w:r w:rsidR="00467B60" w:rsidRPr="00883F87">
        <w:t>AOP 1</w:t>
      </w:r>
      <w:r w:rsidRPr="00883F87">
        <w:t>91 – troškovi sudskih postupaka su se povećali zbog povećanog broja nastalih obveza za pokretanje stečajnih postupaka gdje se javlja Porezna uprava te povećanog broja ovršnih rješenja temeljem pravomoćnih i ovršnih sudskih presuda.</w:t>
      </w:r>
    </w:p>
    <w:p w:rsidR="001714CF" w:rsidRPr="00883F87" w:rsidRDefault="001714CF" w:rsidP="00B50580">
      <w:pPr>
        <w:jc w:val="both"/>
      </w:pPr>
    </w:p>
    <w:p w:rsidR="001714CF" w:rsidRDefault="00F8286F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 AOP 210 Zatezne kamate- rashodi su se povećali i u direktnoj su vezi s AOP-om 191.</w:t>
      </w:r>
    </w:p>
    <w:p w:rsidR="00B50580" w:rsidRDefault="00B50580" w:rsidP="00B50580">
      <w:pPr>
        <w:pStyle w:val="Odlomakpopisa"/>
      </w:pPr>
    </w:p>
    <w:p w:rsidR="00B50580" w:rsidRPr="00883F87" w:rsidRDefault="00B50580" w:rsidP="00B50580">
      <w:pPr>
        <w:jc w:val="both"/>
      </w:pPr>
    </w:p>
    <w:p w:rsidR="0078032E" w:rsidRDefault="00D84888" w:rsidP="00B50580">
      <w:pPr>
        <w:numPr>
          <w:ilvl w:val="0"/>
          <w:numId w:val="17"/>
        </w:numPr>
        <w:ind w:left="0" w:firstLine="0"/>
        <w:jc w:val="both"/>
      </w:pPr>
      <w:r w:rsidRPr="00883F87">
        <w:lastRenderedPageBreak/>
        <w:t xml:space="preserve"> </w:t>
      </w:r>
      <w:r w:rsidR="006B070C" w:rsidRPr="00883F87">
        <w:t>AOP 263 i 305 – kapitalne donacije neprofitnim organizacijama odnose se pretežito  na donacije nefinancijske imovine Ministarstva financija (uži dio) dobrovoljnim vatrogasnim društvima  u ukupnom iznosu sadašnje vrijednosti nefinancijske imovine od 1.146.700,03 kune.</w:t>
      </w:r>
    </w:p>
    <w:p w:rsidR="00B50580" w:rsidRPr="00883F87" w:rsidRDefault="00B50580" w:rsidP="00B50580">
      <w:pPr>
        <w:jc w:val="both"/>
      </w:pPr>
    </w:p>
    <w:p w:rsidR="0078032E" w:rsidRPr="00883F87" w:rsidRDefault="0078032E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AOP 286 </w:t>
      </w:r>
      <w:r w:rsidR="00E959BD" w:rsidRPr="00883F87">
        <w:t xml:space="preserve">- </w:t>
      </w:r>
      <w:r w:rsidRPr="00883F87">
        <w:t>Obračunati prihodi poslovanja –</w:t>
      </w:r>
      <w:r w:rsidR="00F85501">
        <w:t xml:space="preserve"> Iznos obračunatih nenaplaćenih</w:t>
      </w:r>
      <w:r w:rsidRPr="00883F87">
        <w:t xml:space="preserve"> prihoda </w:t>
      </w:r>
      <w:r w:rsidR="00F85501">
        <w:t xml:space="preserve">uglavnom se </w:t>
      </w:r>
      <w:r w:rsidRPr="00883F87">
        <w:t>odnos</w:t>
      </w:r>
      <w:r w:rsidR="00F85501">
        <w:t>i</w:t>
      </w:r>
      <w:r w:rsidRPr="00883F87">
        <w:t xml:space="preserve"> na potraživanja za poreze i doprinose </w:t>
      </w:r>
      <w:r w:rsidR="008E6824">
        <w:t xml:space="preserve">iskazane u </w:t>
      </w:r>
      <w:r w:rsidR="00F85501">
        <w:t xml:space="preserve">financijskim izvještajima Porezne uprave </w:t>
      </w:r>
      <w:r w:rsidR="008E6824">
        <w:t>pod utjecajem</w:t>
      </w:r>
      <w:r w:rsidRPr="00883F87">
        <w:t xml:space="preserve"> smanjenj</w:t>
      </w:r>
      <w:r w:rsidR="008E6824">
        <w:t>a</w:t>
      </w:r>
      <w:r w:rsidRPr="00883F87">
        <w:t xml:space="preserve"> sporno naplativih poreza i doprinosa te</w:t>
      </w:r>
      <w:r w:rsidR="008E6824">
        <w:t xml:space="preserve"> uz istovremeno </w:t>
      </w:r>
      <w:r w:rsidRPr="00883F87">
        <w:t xml:space="preserve"> povećanje gospodarske aktivnosti. U 2018. godini sukladno naputku Državne riznice knjižena su u cijelosti potraživanja za prihod od poreza na dohodak te prihod od spomeničke rente obzirom da ih nije bilo moguće razdvojiti po općinama. Razvija se sustav koji će to u narednim godinama omogućiti.</w:t>
      </w:r>
    </w:p>
    <w:p w:rsidR="0078032E" w:rsidRPr="00883F87" w:rsidRDefault="0078032E" w:rsidP="00B50580">
      <w:pPr>
        <w:jc w:val="both"/>
      </w:pPr>
    </w:p>
    <w:p w:rsidR="00E959BD" w:rsidRPr="00883F87" w:rsidRDefault="00E959BD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 </w:t>
      </w:r>
      <w:r w:rsidR="0020563E" w:rsidRPr="00883F87">
        <w:t>AOP 341 – Rashodi za nabavu nefinancijske imovine rastu pretežito zbog investicijskih aktivnosti na izgradnji</w:t>
      </w:r>
      <w:r w:rsidR="0078032E" w:rsidRPr="00883F87">
        <w:t xml:space="preserve"> i opremanju</w:t>
      </w:r>
      <w:r w:rsidR="0020563E" w:rsidRPr="00883F87">
        <w:t xml:space="preserve"> graničnih prijelaza</w:t>
      </w:r>
      <w:r w:rsidR="00424295" w:rsidRPr="00883F87">
        <w:t xml:space="preserve"> sukladno dinamici utvrđenoj u  Akcijskom planu unapređenja stanja na graničnim prijelazima i ispunjavanja obveza iz 24. P</w:t>
      </w:r>
      <w:r w:rsidR="0078032E" w:rsidRPr="00883F87">
        <w:t>oglavlja u vezi pristupanja RH u</w:t>
      </w:r>
      <w:r w:rsidR="00424295" w:rsidRPr="00883F87">
        <w:t xml:space="preserve"> Europsku uniju a koja uključuje gradnju i rekonstrukciju na 40 graničnih prijelaza prema Bosni i H</w:t>
      </w:r>
      <w:r w:rsidR="00765BAD" w:rsidRPr="00883F87">
        <w:t>erc</w:t>
      </w:r>
      <w:r w:rsidR="0078032E" w:rsidRPr="00883F87">
        <w:t xml:space="preserve">egovini, Srbiji i Crnoj Gori. </w:t>
      </w:r>
      <w:r w:rsidRPr="00883F87">
        <w:t>Pored toga Carinska uprava je izvršila nabavu računalne opreme koja je većim dijelom nabavljena putem projekta Operativni program učinkoviti ljudski potencijali, kuplj</w:t>
      </w:r>
      <w:r w:rsidR="0002641A">
        <w:t>e</w:t>
      </w:r>
      <w:r w:rsidRPr="00883F87">
        <w:t>no je šest službenih vozila, a sedam ih je dobiveno putem donacije. U Carinskoj upravi dodatna ulaganja na građevinskim objektima odnosila su se na sanacije poslovnih prostora u Rijeci i Osijeku. U Poreznoj upravi povećana su ulaganja u vlastite računalne programe zbog razvoja Informa</w:t>
      </w:r>
      <w:r w:rsidR="008E6824">
        <w:t>cijskog sustava Porezne uprave te je p</w:t>
      </w:r>
      <w:r w:rsidRPr="00883F87">
        <w:t>roveden postupak javne nabave novih računala i namještaja. Povećan</w:t>
      </w:r>
      <w:r w:rsidR="008E6824">
        <w:t>i</w:t>
      </w:r>
      <w:r w:rsidRPr="00883F87">
        <w:t xml:space="preserve"> su i troškovi ulaganja u poslovne objekte zbog provedenih postupka obnove i nadogradnje postojećih objekata.</w:t>
      </w:r>
    </w:p>
    <w:p w:rsidR="00E959BD" w:rsidRPr="00883F87" w:rsidRDefault="00E959BD" w:rsidP="00B50580">
      <w:pPr>
        <w:jc w:val="both"/>
      </w:pPr>
    </w:p>
    <w:p w:rsidR="00E959BD" w:rsidRDefault="00E959BD" w:rsidP="00B50580">
      <w:pPr>
        <w:numPr>
          <w:ilvl w:val="0"/>
          <w:numId w:val="17"/>
        </w:numPr>
        <w:ind w:left="0" w:firstLine="0"/>
        <w:jc w:val="both"/>
      </w:pPr>
      <w:r w:rsidRPr="00883F87">
        <w:t xml:space="preserve"> AOP 488 – odnosi se na primitak  koji proizlazi od zaduživanja putem financijskog leasinga za kupnju dva službena automobila, a otplata glavnice evidentirana je na AOP-u 598.</w:t>
      </w:r>
    </w:p>
    <w:p w:rsidR="00D878A9" w:rsidRDefault="00D878A9" w:rsidP="00D878A9">
      <w:pPr>
        <w:pStyle w:val="Odlomakpopisa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D878A9" w:rsidRDefault="00D878A9" w:rsidP="00D878A9">
      <w:pPr>
        <w:jc w:val="both"/>
      </w:pPr>
    </w:p>
    <w:p w:rsidR="00B50580" w:rsidRDefault="00B50580" w:rsidP="00D878A9">
      <w:pPr>
        <w:jc w:val="both"/>
      </w:pPr>
    </w:p>
    <w:p w:rsidR="00B50580" w:rsidRDefault="00B50580" w:rsidP="00D878A9">
      <w:pPr>
        <w:jc w:val="both"/>
      </w:pPr>
    </w:p>
    <w:p w:rsidR="00D878A9" w:rsidRDefault="00D878A9" w:rsidP="00D878A9">
      <w:pPr>
        <w:jc w:val="both"/>
      </w:pPr>
    </w:p>
    <w:p w:rsidR="00626B32" w:rsidRDefault="008E6824" w:rsidP="00B50580">
      <w:pPr>
        <w:pStyle w:val="Odlomakpopisa"/>
        <w:numPr>
          <w:ilvl w:val="0"/>
          <w:numId w:val="9"/>
        </w:numPr>
        <w:ind w:left="0" w:firstLine="0"/>
        <w:jc w:val="both"/>
      </w:pPr>
      <w:r>
        <w:lastRenderedPageBreak/>
        <w:t>AOP 631 – AOP 636</w:t>
      </w:r>
      <w:r w:rsidR="00D77246" w:rsidRPr="00883F87">
        <w:t xml:space="preserve"> odnosi se na:</w:t>
      </w:r>
    </w:p>
    <w:p w:rsidR="00D878A9" w:rsidRPr="00883F87" w:rsidRDefault="00D878A9" w:rsidP="00D878A9">
      <w:pPr>
        <w:pStyle w:val="Odlomakpopisa"/>
        <w:ind w:left="735"/>
        <w:jc w:val="both"/>
      </w:pPr>
    </w:p>
    <w:p w:rsidR="00626B32" w:rsidRPr="00883F87" w:rsidRDefault="00626B32" w:rsidP="00883F87">
      <w:pPr>
        <w:jc w:val="both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552"/>
        <w:gridCol w:w="1358"/>
        <w:gridCol w:w="1296"/>
        <w:gridCol w:w="1277"/>
        <w:gridCol w:w="1237"/>
        <w:gridCol w:w="1298"/>
        <w:gridCol w:w="1177"/>
      </w:tblGrid>
      <w:tr w:rsidR="00AF09BA" w:rsidRPr="00D878A9" w:rsidTr="00F22CC4">
        <w:trPr>
          <w:trHeight w:val="85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Preneseni rezultat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Ostvareni rezultat tekuće godine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F22CC4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Višak raspoloživ u 20</w:t>
            </w:r>
            <w:r w:rsidR="00E959BD" w:rsidRPr="00D878A9">
              <w:rPr>
                <w:sz w:val="20"/>
                <w:szCs w:val="20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F22CC4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Manjak za pokriće u 20</w:t>
            </w:r>
            <w:r w:rsidR="00E959BD" w:rsidRPr="00D878A9">
              <w:rPr>
                <w:sz w:val="20"/>
                <w:szCs w:val="20"/>
              </w:rPr>
              <w:t>20</w:t>
            </w:r>
          </w:p>
        </w:tc>
      </w:tr>
      <w:tr w:rsidR="00AF09BA" w:rsidRPr="00D878A9" w:rsidTr="00F22CC4">
        <w:trPr>
          <w:trHeight w:val="30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Višak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Manjak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Višak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Manjak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</w:tr>
      <w:tr w:rsidR="00AF09BA" w:rsidRPr="00D878A9" w:rsidTr="00053F76">
        <w:trPr>
          <w:trHeight w:val="66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Ministarstvo financija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6.643.184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4.695.408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1.947.776</w:t>
            </w:r>
          </w:p>
        </w:tc>
      </w:tr>
      <w:tr w:rsidR="00AF09BA" w:rsidRPr="00D878A9" w:rsidTr="00053F76">
        <w:trPr>
          <w:trHeight w:val="688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Carinska uprava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6.627.374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9.429.649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2.802.275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</w:tr>
      <w:tr w:rsidR="00AF09BA" w:rsidRPr="00D878A9" w:rsidTr="00F22CC4">
        <w:trPr>
          <w:trHeight w:val="4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Porezna uprava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23.665.392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17.861.673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5.803.719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</w:tr>
      <w:tr w:rsidR="00AF09BA" w:rsidRPr="00D878A9" w:rsidTr="00053F76">
        <w:trPr>
          <w:trHeight w:val="137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Agencija za reviziju sustava provedbe programa europske unije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30.333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13.774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44.107</w:t>
            </w:r>
          </w:p>
        </w:tc>
      </w:tr>
      <w:tr w:rsidR="00AF09BA" w:rsidRPr="00D878A9" w:rsidTr="00F22CC4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Odbor za standarde financijskog izvještavanja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585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53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sz w:val="20"/>
                <w:szCs w:val="20"/>
              </w:rPr>
            </w:pPr>
            <w:r w:rsidRPr="00D878A9">
              <w:rPr>
                <w:sz w:val="20"/>
                <w:szCs w:val="20"/>
              </w:rPr>
              <w:t>638</w:t>
            </w:r>
          </w:p>
        </w:tc>
      </w:tr>
      <w:tr w:rsidR="00AF09BA" w:rsidRPr="00D878A9" w:rsidTr="00053F76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A9">
              <w:rPr>
                <w:b/>
                <w:bCs/>
                <w:sz w:val="20"/>
                <w:szCs w:val="20"/>
              </w:rPr>
              <w:t>Ukupan rezultat za razdjel 025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B22B5A" w:rsidP="00D8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A9">
              <w:rPr>
                <w:b/>
                <w:bCs/>
                <w:sz w:val="20"/>
                <w:szCs w:val="20"/>
              </w:rPr>
              <w:t>10.363.916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1" w:rsidRPr="00D878A9" w:rsidRDefault="00CF7AB1" w:rsidP="00D8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1" w:rsidRPr="00D878A9" w:rsidRDefault="00CF7AB1" w:rsidP="00D8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B22B5A" w:rsidP="00D8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A9">
              <w:rPr>
                <w:b/>
                <w:bCs/>
                <w:sz w:val="20"/>
                <w:szCs w:val="20"/>
              </w:rPr>
              <w:t>3.750.443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053F76" w:rsidP="00D8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A9">
              <w:rPr>
                <w:b/>
                <w:bCs/>
                <w:sz w:val="20"/>
                <w:szCs w:val="20"/>
              </w:rPr>
              <w:t>6.613.473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1" w:rsidRPr="00D878A9" w:rsidRDefault="00CF7AB1" w:rsidP="00D8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D4F43" w:rsidRPr="00883F87" w:rsidRDefault="00CD4F43" w:rsidP="00883F87">
      <w:pPr>
        <w:jc w:val="both"/>
      </w:pPr>
    </w:p>
    <w:p w:rsidR="00CD4F43" w:rsidRPr="00883F87" w:rsidRDefault="00CD4F43" w:rsidP="00B50580">
      <w:pPr>
        <w:jc w:val="both"/>
      </w:pPr>
      <w:r w:rsidRPr="00883F87">
        <w:t>Ostala smanjenja rashoda poslovanja i rashoda za nabavu nefinancijske imovine rezultat su racionalnog postupanja sa rashodima u poslovanju, dok je do povećanja došlo zbog dinamike izvršavanja poslova redovne djelatnosti.</w:t>
      </w:r>
    </w:p>
    <w:p w:rsidR="00E959BD" w:rsidRPr="00883F87" w:rsidRDefault="00E959BD" w:rsidP="00883F87">
      <w:pPr>
        <w:ind w:left="720"/>
        <w:jc w:val="both"/>
      </w:pPr>
    </w:p>
    <w:p w:rsidR="008665D5" w:rsidRPr="00883F87" w:rsidRDefault="008665D5" w:rsidP="00883F87">
      <w:pPr>
        <w:jc w:val="both"/>
      </w:pPr>
    </w:p>
    <w:p w:rsidR="00CD4F43" w:rsidRPr="00883F87" w:rsidRDefault="00CD4F43" w:rsidP="00B50580">
      <w:pPr>
        <w:jc w:val="center"/>
        <w:rPr>
          <w:b/>
          <w:u w:val="single"/>
        </w:rPr>
      </w:pPr>
      <w:r w:rsidRPr="00883F87">
        <w:rPr>
          <w:b/>
          <w:u w:val="single"/>
        </w:rPr>
        <w:t>BILJEŠKE UZ PROMJENE U VRIJEDNOSTI I OBUJMU IMOVINE I OBVEZA</w:t>
      </w:r>
    </w:p>
    <w:p w:rsidR="00BF3EB7" w:rsidRPr="00883F87" w:rsidRDefault="00BF3EB7" w:rsidP="00883F87">
      <w:pPr>
        <w:jc w:val="both"/>
        <w:rPr>
          <w:b/>
          <w:u w:val="single"/>
        </w:rPr>
      </w:pPr>
    </w:p>
    <w:p w:rsidR="00BF3EB7" w:rsidRPr="00883F87" w:rsidRDefault="00BF3EB7" w:rsidP="00883F87">
      <w:pPr>
        <w:pStyle w:val="Odlomakpopisa"/>
        <w:jc w:val="both"/>
        <w:rPr>
          <w:b/>
          <w:u w:val="single"/>
        </w:rPr>
      </w:pPr>
    </w:p>
    <w:p w:rsidR="00775C2B" w:rsidRPr="00883F87" w:rsidRDefault="00BF3EB7" w:rsidP="00883F87">
      <w:pPr>
        <w:numPr>
          <w:ilvl w:val="0"/>
          <w:numId w:val="16"/>
        </w:numPr>
        <w:ind w:left="0" w:firstLine="0"/>
        <w:jc w:val="both"/>
      </w:pPr>
      <w:r w:rsidRPr="00883F87">
        <w:t xml:space="preserve">AOP </w:t>
      </w:r>
      <w:r w:rsidR="00775C2B" w:rsidRPr="00883F87">
        <w:t>018</w:t>
      </w:r>
      <w:r w:rsidR="00D878A9">
        <w:t xml:space="preserve"> </w:t>
      </w:r>
      <w:r w:rsidRPr="00883F87">
        <w:t xml:space="preserve"> </w:t>
      </w:r>
      <w:r w:rsidR="00D878A9">
        <w:t>Promjene u obujmu imovine - iskazana vrijednost smanjenja u obujmu imovine najvećim dijelom</w:t>
      </w:r>
      <w:r w:rsidRPr="00883F87">
        <w:t xml:space="preserve"> se odnosi na rashodovan</w:t>
      </w:r>
      <w:r w:rsidR="00D878A9">
        <w:t>u</w:t>
      </w:r>
      <w:r w:rsidRPr="00883F87">
        <w:t xml:space="preserve"> i isknjižen</w:t>
      </w:r>
      <w:r w:rsidR="00D878A9">
        <w:t>u</w:t>
      </w:r>
      <w:r w:rsidRPr="00883F87">
        <w:t xml:space="preserve"> imo</w:t>
      </w:r>
      <w:r w:rsidR="00D878A9">
        <w:t>vinu</w:t>
      </w:r>
      <w:r w:rsidR="00775C2B" w:rsidRPr="00883F87">
        <w:t xml:space="preserve"> Porezne uprave koja je imala sadašnju vrijednost. Imovina je rashodovana i isknjižena temeljem vjerodostojne dokumentacije o zbrinjavanju iste, a temeljem donesenih Odluka o rashodovanju dugotrajne nefinancijske imovine.</w:t>
      </w:r>
    </w:p>
    <w:p w:rsidR="00775C2B" w:rsidRPr="00883F87" w:rsidRDefault="00775C2B" w:rsidP="00883F87">
      <w:pPr>
        <w:jc w:val="both"/>
      </w:pPr>
    </w:p>
    <w:p w:rsidR="00BF3EB7" w:rsidRPr="00883F87" w:rsidRDefault="00775C2B" w:rsidP="00883F87">
      <w:pPr>
        <w:jc w:val="both"/>
      </w:pPr>
      <w:r w:rsidRPr="00883F87">
        <w:t>Smanjenju</w:t>
      </w:r>
      <w:r w:rsidR="00B50580">
        <w:t xml:space="preserve"> obujma</w:t>
      </w:r>
      <w:r w:rsidRPr="00883F87">
        <w:t xml:space="preserve"> imovine doprinijeli su </w:t>
      </w:r>
      <w:r w:rsidR="00B50580">
        <w:t xml:space="preserve">i </w:t>
      </w:r>
      <w:r w:rsidR="00BF3EB7" w:rsidRPr="00883F87">
        <w:t>prijenos</w:t>
      </w:r>
      <w:r w:rsidRPr="00883F87">
        <w:t>i</w:t>
      </w:r>
      <w:r w:rsidR="00BF3EB7" w:rsidRPr="00883F87">
        <w:t xml:space="preserve"> </w:t>
      </w:r>
      <w:r w:rsidRPr="00883F87">
        <w:t>imovine</w:t>
      </w:r>
      <w:r w:rsidR="00BF3EB7" w:rsidRPr="00883F87">
        <w:t xml:space="preserve"> bez naknade u ukupnom iznosu 5</w:t>
      </w:r>
      <w:r w:rsidRPr="00883F87">
        <w:t>14.582</w:t>
      </w:r>
      <w:r w:rsidR="00BF3EB7" w:rsidRPr="00883F87">
        <w:t>,</w:t>
      </w:r>
      <w:r w:rsidRPr="00883F87">
        <w:t>14</w:t>
      </w:r>
      <w:r w:rsidR="00BF3EB7" w:rsidRPr="00883F87">
        <w:t xml:space="preserve"> kun</w:t>
      </w:r>
      <w:r w:rsidRPr="00883F87">
        <w:t>a, a odnose</w:t>
      </w:r>
      <w:r w:rsidR="00BF3EB7" w:rsidRPr="00883F87">
        <w:t xml:space="preserve"> se na: </w:t>
      </w:r>
    </w:p>
    <w:p w:rsidR="00BF3EB7" w:rsidRPr="00883F87" w:rsidRDefault="00BF3EB7" w:rsidP="00B50580">
      <w:pPr>
        <w:pStyle w:val="Odlomakpopisa"/>
        <w:numPr>
          <w:ilvl w:val="0"/>
          <w:numId w:val="20"/>
        </w:numPr>
        <w:jc w:val="both"/>
      </w:pPr>
      <w:r w:rsidRPr="00883F87">
        <w:t>prijenos četrnaest kontejnera u vlasništvu Ministarstva financija Gradu Požegi u ukupnom  iznosu sadašnje vrijednosti 252.349,94 kune</w:t>
      </w:r>
    </w:p>
    <w:p w:rsidR="00BF3EB7" w:rsidRPr="00883F87" w:rsidRDefault="00BF3EB7" w:rsidP="00B50580">
      <w:pPr>
        <w:pStyle w:val="Odlomakpopisa"/>
        <w:numPr>
          <w:ilvl w:val="0"/>
          <w:numId w:val="20"/>
        </w:numPr>
        <w:jc w:val="both"/>
      </w:pPr>
      <w:r w:rsidRPr="00883F87">
        <w:t>prijenos dva kontejnera u vlasništvu Ministarstva financija u Ministarstvo unutarnjih poslova u ukupnom iznosu sadašnje vrijednosti 40.431,79 kuna.</w:t>
      </w:r>
    </w:p>
    <w:p w:rsidR="00BF3EB7" w:rsidRPr="00883F87" w:rsidRDefault="00BF3EB7" w:rsidP="00B50580">
      <w:pPr>
        <w:pStyle w:val="Odlomakpopisa"/>
        <w:numPr>
          <w:ilvl w:val="0"/>
          <w:numId w:val="20"/>
        </w:numPr>
        <w:jc w:val="both"/>
      </w:pPr>
      <w:r w:rsidRPr="00883F87">
        <w:t>prijenos jednog kontejnera u vlasništvu Ministarstva financija Općini Dvor u iznosu sadašnje vrijednosti od 26.251,41 kune.</w:t>
      </w:r>
    </w:p>
    <w:p w:rsidR="00BF3EB7" w:rsidRPr="00883F87" w:rsidRDefault="00B50580" w:rsidP="00B50580">
      <w:pPr>
        <w:pStyle w:val="Odlomakpopisa"/>
        <w:numPr>
          <w:ilvl w:val="0"/>
          <w:numId w:val="20"/>
        </w:numPr>
        <w:jc w:val="both"/>
      </w:pPr>
      <w:r>
        <w:lastRenderedPageBreak/>
        <w:t xml:space="preserve">prijenos dva službena automobila Carinske uprave </w:t>
      </w:r>
      <w:r w:rsidR="00BF3EB7" w:rsidRPr="00883F87">
        <w:t>Kliničkoj bolnici Merkur i Hrvatskoj akademi</w:t>
      </w:r>
      <w:r>
        <w:t xml:space="preserve">ji znanosti i umjetnosti </w:t>
      </w:r>
      <w:r w:rsidRPr="00883F87">
        <w:t xml:space="preserve">u iznosu </w:t>
      </w:r>
      <w:r>
        <w:t xml:space="preserve">sadašnje vrijednosti od </w:t>
      </w:r>
      <w:r w:rsidRPr="00883F87">
        <w:t>195.549,00 kn</w:t>
      </w:r>
      <w:r>
        <w:t>.</w:t>
      </w:r>
    </w:p>
    <w:p w:rsidR="00BF3EB7" w:rsidRPr="00883F87" w:rsidRDefault="00BF3EB7" w:rsidP="00883F87">
      <w:pPr>
        <w:jc w:val="both"/>
      </w:pPr>
    </w:p>
    <w:p w:rsidR="00C34646" w:rsidRPr="00883F87" w:rsidRDefault="00C34646" w:rsidP="00883F87">
      <w:pPr>
        <w:jc w:val="both"/>
      </w:pPr>
    </w:p>
    <w:p w:rsidR="00C34646" w:rsidRPr="00883F87" w:rsidRDefault="00C34646" w:rsidP="00883F87">
      <w:pPr>
        <w:jc w:val="both"/>
        <w:rPr>
          <w:b/>
          <w:u w:val="single"/>
        </w:rPr>
      </w:pPr>
    </w:p>
    <w:p w:rsidR="00C34646" w:rsidRDefault="00C34646" w:rsidP="00B50580">
      <w:pPr>
        <w:jc w:val="center"/>
        <w:rPr>
          <w:b/>
          <w:u w:val="single"/>
        </w:rPr>
      </w:pPr>
      <w:r w:rsidRPr="00883F87">
        <w:rPr>
          <w:b/>
          <w:u w:val="single"/>
        </w:rPr>
        <w:t>BILJEŠKE UZ IZVJEŠTAJ O RASHODIMA PREMA FUNKCIJSKOJ KLASIFIKACIJI</w:t>
      </w:r>
    </w:p>
    <w:p w:rsidR="00B50580" w:rsidRPr="00883F87" w:rsidRDefault="00B50580" w:rsidP="00B50580">
      <w:pPr>
        <w:jc w:val="center"/>
        <w:rPr>
          <w:b/>
          <w:u w:val="single"/>
        </w:rPr>
      </w:pPr>
    </w:p>
    <w:p w:rsidR="00C34646" w:rsidRPr="00883F87" w:rsidRDefault="00C34646" w:rsidP="00883F87">
      <w:pPr>
        <w:jc w:val="both"/>
        <w:rPr>
          <w:b/>
          <w:u w:val="single"/>
        </w:rPr>
      </w:pPr>
    </w:p>
    <w:p w:rsidR="00C34646" w:rsidRDefault="0001381D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883F87">
        <w:t>AOP 004 – Financijski i fiskalni poslovi – obuhvaćaju ukupne rashode i to: Mi</w:t>
      </w:r>
      <w:r w:rsidR="006D65E7" w:rsidRPr="00883F87">
        <w:t xml:space="preserve">nistarstvo financija </w:t>
      </w:r>
      <w:r w:rsidR="00455169" w:rsidRPr="00883F87">
        <w:t>265.551.852</w:t>
      </w:r>
      <w:r w:rsidR="006D65E7" w:rsidRPr="00883F87">
        <w:t xml:space="preserve"> kn, Carinska uprava </w:t>
      </w:r>
      <w:r w:rsidR="00455169" w:rsidRPr="00883F87">
        <w:t>525.317.766</w:t>
      </w:r>
      <w:r w:rsidR="006D65E7" w:rsidRPr="00883F87">
        <w:t xml:space="preserve"> kn, Porezna uprava </w:t>
      </w:r>
      <w:r w:rsidR="00455169" w:rsidRPr="00883F87">
        <w:t>880.462.257</w:t>
      </w:r>
      <w:r w:rsidRPr="00883F87">
        <w:t xml:space="preserve"> kn, </w:t>
      </w:r>
      <w:r w:rsidR="00F634AD" w:rsidRPr="00883F87">
        <w:t>Agencija za reviziju sustava provedbe pr</w:t>
      </w:r>
      <w:r w:rsidR="006D65E7" w:rsidRPr="00883F87">
        <w:t xml:space="preserve">ograma Europske unije </w:t>
      </w:r>
      <w:r w:rsidR="00455169" w:rsidRPr="00883F87">
        <w:t>19.444.962</w:t>
      </w:r>
      <w:r w:rsidR="006D65E7" w:rsidRPr="00883F87">
        <w:t xml:space="preserve"> kn,</w:t>
      </w:r>
      <w:r w:rsidR="00F634AD" w:rsidRPr="00883F87">
        <w:t xml:space="preserve"> Odbor za standarde fi</w:t>
      </w:r>
      <w:r w:rsidR="00DE044D" w:rsidRPr="00883F87">
        <w:t xml:space="preserve">nancijskog izvještavanja </w:t>
      </w:r>
      <w:r w:rsidR="00455169" w:rsidRPr="00883F87">
        <w:t>398.126</w:t>
      </w:r>
      <w:r w:rsidR="00F634AD" w:rsidRPr="00883F87">
        <w:t xml:space="preserve"> kn.</w:t>
      </w:r>
    </w:p>
    <w:p w:rsidR="00B50580" w:rsidRPr="00883F87" w:rsidRDefault="00B50580" w:rsidP="00B50580">
      <w:pPr>
        <w:pStyle w:val="Odlomakpopisa"/>
        <w:ind w:left="0"/>
        <w:jc w:val="both"/>
      </w:pPr>
    </w:p>
    <w:p w:rsidR="00B50580" w:rsidRDefault="00F634AD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883F87">
        <w:t>AOP 005 – Vanjski poslovi – odnosi se na rash</w:t>
      </w:r>
      <w:r w:rsidR="00DE044D" w:rsidRPr="00883F87">
        <w:t>ode Carinske uprave</w:t>
      </w:r>
    </w:p>
    <w:p w:rsidR="00F634AD" w:rsidRPr="00883F87" w:rsidRDefault="00DE044D" w:rsidP="00B50580">
      <w:pPr>
        <w:pStyle w:val="Odlomakpopisa"/>
        <w:ind w:left="0"/>
        <w:jc w:val="both"/>
      </w:pPr>
      <w:r w:rsidRPr="00883F87">
        <w:t xml:space="preserve"> </w:t>
      </w:r>
    </w:p>
    <w:p w:rsidR="00F634AD" w:rsidRDefault="00F634AD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883F87">
        <w:t>AOP 012 – Ostale opće usluge – odnose se na rashode Carinske uprave</w:t>
      </w:r>
    </w:p>
    <w:p w:rsidR="00B50580" w:rsidRPr="00883F87" w:rsidRDefault="00B50580" w:rsidP="00B50580">
      <w:pPr>
        <w:pStyle w:val="Odlomakpopisa"/>
        <w:ind w:left="0"/>
        <w:jc w:val="both"/>
      </w:pPr>
    </w:p>
    <w:p w:rsidR="00455169" w:rsidRPr="00883F87" w:rsidRDefault="00455169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883F87">
        <w:t>AOP 070 – Ekonomski poslovi – odnose se na rashode Porezne uprave</w:t>
      </w:r>
    </w:p>
    <w:p w:rsidR="00726857" w:rsidRPr="00883F87" w:rsidRDefault="00726857" w:rsidP="00883F87">
      <w:pPr>
        <w:jc w:val="both"/>
      </w:pPr>
    </w:p>
    <w:p w:rsidR="00726857" w:rsidRPr="00883F87" w:rsidRDefault="00726857" w:rsidP="00883F87">
      <w:pPr>
        <w:ind w:left="360"/>
        <w:jc w:val="both"/>
      </w:pPr>
    </w:p>
    <w:p w:rsidR="00CF3A11" w:rsidRDefault="00726857" w:rsidP="00B50580">
      <w:pPr>
        <w:jc w:val="center"/>
        <w:rPr>
          <w:b/>
          <w:u w:val="single"/>
        </w:rPr>
      </w:pPr>
      <w:r w:rsidRPr="00883F87">
        <w:rPr>
          <w:b/>
          <w:u w:val="single"/>
        </w:rPr>
        <w:t>BILJEŠKE UZ IZVJEŠTAJ O OBVEZAMA</w:t>
      </w:r>
    </w:p>
    <w:p w:rsidR="00B50580" w:rsidRPr="00883F87" w:rsidRDefault="00B50580" w:rsidP="00B50580">
      <w:pPr>
        <w:jc w:val="center"/>
        <w:rPr>
          <w:b/>
          <w:u w:val="single"/>
        </w:rPr>
      </w:pPr>
    </w:p>
    <w:p w:rsidR="000E21F3" w:rsidRPr="00883F87" w:rsidRDefault="000E21F3" w:rsidP="00883F87">
      <w:pPr>
        <w:jc w:val="both"/>
        <w:rPr>
          <w:b/>
          <w:u w:val="single"/>
        </w:rPr>
      </w:pPr>
    </w:p>
    <w:p w:rsidR="000E21F3" w:rsidRPr="00883F87" w:rsidRDefault="000E21F3" w:rsidP="00B50580">
      <w:pPr>
        <w:pStyle w:val="Odlomakpopisa"/>
        <w:numPr>
          <w:ilvl w:val="0"/>
          <w:numId w:val="21"/>
        </w:numPr>
        <w:ind w:left="0" w:firstLine="0"/>
        <w:jc w:val="both"/>
      </w:pPr>
      <w:r w:rsidRPr="00883F87">
        <w:t>AOP 090 –</w:t>
      </w:r>
      <w:r w:rsidR="00455169" w:rsidRPr="00883F87">
        <w:t xml:space="preserve"> </w:t>
      </w:r>
      <w:r w:rsidRPr="00883F87">
        <w:t>Nedospjele obveze za rashode poslovanja odnose se na Ministars</w:t>
      </w:r>
      <w:r w:rsidR="00A85ECA" w:rsidRPr="00883F87">
        <w:t xml:space="preserve">tvo financija u iznosu </w:t>
      </w:r>
      <w:r w:rsidR="005851D9">
        <w:t xml:space="preserve">10.402.194 </w:t>
      </w:r>
      <w:r w:rsidR="00455169" w:rsidRPr="00883F87">
        <w:t>kune, Carinsku upravu 46.580.197</w:t>
      </w:r>
      <w:r w:rsidRPr="00883F87">
        <w:t xml:space="preserve"> ku</w:t>
      </w:r>
      <w:r w:rsidR="00A85ECA" w:rsidRPr="00883F87">
        <w:t xml:space="preserve">na, Poreznu upravu </w:t>
      </w:r>
      <w:r w:rsidR="00455169" w:rsidRPr="00883F87">
        <w:t>5.14</w:t>
      </w:r>
      <w:r w:rsidR="00636CDB">
        <w:t>0</w:t>
      </w:r>
      <w:r w:rsidR="00455169" w:rsidRPr="00883F87">
        <w:t>.</w:t>
      </w:r>
      <w:r w:rsidR="00636CDB">
        <w:t>556</w:t>
      </w:r>
      <w:r w:rsidR="00455169" w:rsidRPr="00883F87">
        <w:t>.</w:t>
      </w:r>
      <w:r w:rsidR="00636CDB">
        <w:t>530</w:t>
      </w:r>
      <w:r w:rsidRPr="00883F87">
        <w:t xml:space="preserve"> kuna, Agencija za reviziju sustav</w:t>
      </w:r>
      <w:r w:rsidR="00A85ECA" w:rsidRPr="00883F87">
        <w:t xml:space="preserve">a provedbe programa EU </w:t>
      </w:r>
      <w:r w:rsidR="00455169" w:rsidRPr="00883F87">
        <w:t>1.282.309</w:t>
      </w:r>
      <w:r w:rsidRPr="00883F87">
        <w:t xml:space="preserve"> kuna i Odbor za standard</w:t>
      </w:r>
      <w:r w:rsidR="00A85ECA" w:rsidRPr="00883F87">
        <w:t>e financijskog izvještavanja 6</w:t>
      </w:r>
      <w:r w:rsidR="00455169" w:rsidRPr="00883F87">
        <w:t>38</w:t>
      </w:r>
      <w:r w:rsidRPr="00883F87">
        <w:t xml:space="preserve"> kuna. </w:t>
      </w:r>
    </w:p>
    <w:p w:rsidR="00CF3A11" w:rsidRPr="00883F87" w:rsidRDefault="00CF3A11" w:rsidP="00883F87">
      <w:pPr>
        <w:ind w:left="360"/>
        <w:jc w:val="both"/>
      </w:pPr>
    </w:p>
    <w:p w:rsidR="00E303C6" w:rsidRPr="00883F87" w:rsidRDefault="00E303C6" w:rsidP="00883F87">
      <w:pPr>
        <w:ind w:left="360"/>
        <w:jc w:val="both"/>
      </w:pPr>
    </w:p>
    <w:p w:rsidR="00E303C6" w:rsidRPr="00883F87" w:rsidRDefault="00E303C6" w:rsidP="00883F87">
      <w:pPr>
        <w:ind w:left="360"/>
        <w:jc w:val="both"/>
      </w:pPr>
    </w:p>
    <w:p w:rsidR="00E303C6" w:rsidRPr="00883F87" w:rsidRDefault="00E303C6" w:rsidP="00883F87">
      <w:pPr>
        <w:ind w:left="360"/>
        <w:jc w:val="both"/>
      </w:pPr>
    </w:p>
    <w:p w:rsidR="00E303C6" w:rsidRPr="00883F87" w:rsidRDefault="00E303C6" w:rsidP="00883F87">
      <w:pPr>
        <w:ind w:left="360"/>
        <w:jc w:val="both"/>
        <w:rPr>
          <w:b/>
        </w:rPr>
      </w:pPr>
    </w:p>
    <w:p w:rsidR="00E303C6" w:rsidRPr="00883F87" w:rsidRDefault="00E303C6" w:rsidP="00883F87">
      <w:pPr>
        <w:ind w:left="360"/>
        <w:jc w:val="both"/>
        <w:rPr>
          <w:b/>
        </w:rPr>
      </w:pP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  <w:t xml:space="preserve"> GLAVNI TAJNIK  </w:t>
      </w:r>
    </w:p>
    <w:p w:rsidR="00E303C6" w:rsidRPr="00883F87" w:rsidRDefault="00E303C6" w:rsidP="00883F87">
      <w:pPr>
        <w:ind w:left="360"/>
        <w:jc w:val="both"/>
        <w:rPr>
          <w:b/>
        </w:rPr>
      </w:pPr>
    </w:p>
    <w:p w:rsidR="00E303C6" w:rsidRPr="00883F87" w:rsidRDefault="00E303C6" w:rsidP="00883F87">
      <w:pPr>
        <w:ind w:left="360"/>
        <w:jc w:val="both"/>
        <w:rPr>
          <w:b/>
        </w:rPr>
      </w:pP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  <w:t xml:space="preserve">    Zvonko Šakić</w:t>
      </w:r>
      <w:r w:rsidRPr="00883F87">
        <w:rPr>
          <w:b/>
        </w:rPr>
        <w:tab/>
      </w:r>
    </w:p>
    <w:p w:rsidR="00E303C6" w:rsidRPr="00883F87" w:rsidRDefault="00E303C6" w:rsidP="00883F87">
      <w:pPr>
        <w:ind w:left="360"/>
        <w:jc w:val="both"/>
        <w:rPr>
          <w:b/>
        </w:rPr>
      </w:pPr>
      <w:r w:rsidRPr="00883F87">
        <w:rPr>
          <w:b/>
        </w:rPr>
        <w:tab/>
      </w:r>
      <w:r w:rsidRPr="00883F87">
        <w:rPr>
          <w:b/>
        </w:rPr>
        <w:tab/>
      </w:r>
      <w:r w:rsidRPr="00883F87">
        <w:rPr>
          <w:b/>
        </w:rPr>
        <w:tab/>
        <w:t xml:space="preserve">                                                      </w:t>
      </w:r>
    </w:p>
    <w:p w:rsidR="008665D5" w:rsidRPr="00883F87" w:rsidRDefault="008665D5" w:rsidP="00883F87">
      <w:pPr>
        <w:ind w:left="360"/>
        <w:jc w:val="both"/>
      </w:pPr>
    </w:p>
    <w:p w:rsidR="004524BC" w:rsidRPr="00883F87" w:rsidRDefault="004524BC" w:rsidP="00883F87">
      <w:pPr>
        <w:ind w:left="360"/>
        <w:jc w:val="both"/>
      </w:pPr>
    </w:p>
    <w:p w:rsidR="006404C0" w:rsidRPr="00883F87" w:rsidRDefault="006404C0" w:rsidP="00883F87">
      <w:pPr>
        <w:ind w:left="360"/>
        <w:jc w:val="both"/>
      </w:pPr>
    </w:p>
    <w:p w:rsidR="00DE5A30" w:rsidRPr="00883F87" w:rsidRDefault="00DE5A30" w:rsidP="00883F87">
      <w:pPr>
        <w:jc w:val="both"/>
      </w:pPr>
    </w:p>
    <w:p w:rsidR="007E3D35" w:rsidRPr="00883F87" w:rsidRDefault="007E3D35" w:rsidP="00883F87">
      <w:pPr>
        <w:ind w:left="720"/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883F87">
      <w:pPr>
        <w:jc w:val="both"/>
      </w:pPr>
    </w:p>
    <w:p w:rsidR="00CD4F43" w:rsidRPr="00883F87" w:rsidRDefault="00CD4F43" w:rsidP="00883F87">
      <w:pPr>
        <w:jc w:val="both"/>
      </w:pPr>
    </w:p>
    <w:p w:rsidR="00C1036D" w:rsidRPr="00883F87" w:rsidRDefault="00C1036D" w:rsidP="00883F87">
      <w:pPr>
        <w:jc w:val="both"/>
      </w:pPr>
    </w:p>
    <w:sectPr w:rsidR="00C1036D" w:rsidRPr="00883F87" w:rsidSect="00D5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332"/>
    <w:multiLevelType w:val="hybridMultilevel"/>
    <w:tmpl w:val="0E60F8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2531"/>
    <w:multiLevelType w:val="hybridMultilevel"/>
    <w:tmpl w:val="B3FC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46"/>
    <w:multiLevelType w:val="hybridMultilevel"/>
    <w:tmpl w:val="AEB03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7FB"/>
    <w:multiLevelType w:val="hybridMultilevel"/>
    <w:tmpl w:val="ED208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11C"/>
    <w:multiLevelType w:val="hybridMultilevel"/>
    <w:tmpl w:val="8ADA51F6"/>
    <w:lvl w:ilvl="0" w:tplc="4D8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EF3"/>
    <w:multiLevelType w:val="hybridMultilevel"/>
    <w:tmpl w:val="81424C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7440"/>
    <w:multiLevelType w:val="hybridMultilevel"/>
    <w:tmpl w:val="2D4652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E4AC8"/>
    <w:multiLevelType w:val="hybridMultilevel"/>
    <w:tmpl w:val="3D64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90C"/>
    <w:multiLevelType w:val="hybridMultilevel"/>
    <w:tmpl w:val="D3527C76"/>
    <w:lvl w:ilvl="0" w:tplc="099ACE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3903"/>
    <w:multiLevelType w:val="hybridMultilevel"/>
    <w:tmpl w:val="C792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587"/>
    <w:multiLevelType w:val="hybridMultilevel"/>
    <w:tmpl w:val="D50EF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4682C"/>
    <w:multiLevelType w:val="hybridMultilevel"/>
    <w:tmpl w:val="C21A0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0CC"/>
    <w:multiLevelType w:val="hybridMultilevel"/>
    <w:tmpl w:val="005C3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70F3"/>
    <w:multiLevelType w:val="hybridMultilevel"/>
    <w:tmpl w:val="C066B81E"/>
    <w:lvl w:ilvl="0" w:tplc="F6A82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2B058BA"/>
    <w:multiLevelType w:val="hybridMultilevel"/>
    <w:tmpl w:val="24F07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D48C7"/>
    <w:multiLevelType w:val="hybridMultilevel"/>
    <w:tmpl w:val="401CE9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08DD"/>
    <w:multiLevelType w:val="hybridMultilevel"/>
    <w:tmpl w:val="09A6A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20"/>
  </w:num>
  <w:num w:numId="16">
    <w:abstractNumId w:val="2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3"/>
    <w:rsid w:val="000018B6"/>
    <w:rsid w:val="000065E4"/>
    <w:rsid w:val="0001381D"/>
    <w:rsid w:val="00020FDB"/>
    <w:rsid w:val="0002641A"/>
    <w:rsid w:val="00047FDB"/>
    <w:rsid w:val="00053F76"/>
    <w:rsid w:val="00067B45"/>
    <w:rsid w:val="00092249"/>
    <w:rsid w:val="000D1766"/>
    <w:rsid w:val="000E21F3"/>
    <w:rsid w:val="001014C3"/>
    <w:rsid w:val="001714CF"/>
    <w:rsid w:val="00185CB5"/>
    <w:rsid w:val="001862A1"/>
    <w:rsid w:val="001D165E"/>
    <w:rsid w:val="0020563E"/>
    <w:rsid w:val="00212AE7"/>
    <w:rsid w:val="00247651"/>
    <w:rsid w:val="00293857"/>
    <w:rsid w:val="002A1E54"/>
    <w:rsid w:val="002A6271"/>
    <w:rsid w:val="002B5409"/>
    <w:rsid w:val="0031301B"/>
    <w:rsid w:val="003339AA"/>
    <w:rsid w:val="00334853"/>
    <w:rsid w:val="00350B17"/>
    <w:rsid w:val="00380AA1"/>
    <w:rsid w:val="003C22B5"/>
    <w:rsid w:val="003E20B6"/>
    <w:rsid w:val="004011AA"/>
    <w:rsid w:val="00424295"/>
    <w:rsid w:val="00440355"/>
    <w:rsid w:val="0044542F"/>
    <w:rsid w:val="004524BC"/>
    <w:rsid w:val="0045314E"/>
    <w:rsid w:val="00455169"/>
    <w:rsid w:val="00467B60"/>
    <w:rsid w:val="004864FA"/>
    <w:rsid w:val="004B34C3"/>
    <w:rsid w:val="004B5F02"/>
    <w:rsid w:val="004F70D8"/>
    <w:rsid w:val="005851D9"/>
    <w:rsid w:val="005A3855"/>
    <w:rsid w:val="005E3554"/>
    <w:rsid w:val="005E5F1A"/>
    <w:rsid w:val="00626B32"/>
    <w:rsid w:val="00636CDB"/>
    <w:rsid w:val="006404C0"/>
    <w:rsid w:val="0064610D"/>
    <w:rsid w:val="006A5DB7"/>
    <w:rsid w:val="006A6216"/>
    <w:rsid w:val="006B070C"/>
    <w:rsid w:val="006D65E7"/>
    <w:rsid w:val="00710F5F"/>
    <w:rsid w:val="00715FED"/>
    <w:rsid w:val="007257CD"/>
    <w:rsid w:val="00726857"/>
    <w:rsid w:val="00733B94"/>
    <w:rsid w:val="00765BAD"/>
    <w:rsid w:val="00775C2B"/>
    <w:rsid w:val="00777AFB"/>
    <w:rsid w:val="0078032E"/>
    <w:rsid w:val="00783343"/>
    <w:rsid w:val="00792902"/>
    <w:rsid w:val="007942FA"/>
    <w:rsid w:val="007E3D35"/>
    <w:rsid w:val="007F3350"/>
    <w:rsid w:val="007F7FBB"/>
    <w:rsid w:val="00806F97"/>
    <w:rsid w:val="0082284A"/>
    <w:rsid w:val="008665D5"/>
    <w:rsid w:val="00883F87"/>
    <w:rsid w:val="00886B82"/>
    <w:rsid w:val="008B42C8"/>
    <w:rsid w:val="008B7C73"/>
    <w:rsid w:val="008E6824"/>
    <w:rsid w:val="008F4E1C"/>
    <w:rsid w:val="00936130"/>
    <w:rsid w:val="00950BD7"/>
    <w:rsid w:val="00A01265"/>
    <w:rsid w:val="00A027A2"/>
    <w:rsid w:val="00A26FBB"/>
    <w:rsid w:val="00A8181E"/>
    <w:rsid w:val="00A85ECA"/>
    <w:rsid w:val="00A92977"/>
    <w:rsid w:val="00AB2446"/>
    <w:rsid w:val="00AC2DF5"/>
    <w:rsid w:val="00AC53E9"/>
    <w:rsid w:val="00AC5A84"/>
    <w:rsid w:val="00AD4522"/>
    <w:rsid w:val="00AF09BA"/>
    <w:rsid w:val="00B22B5A"/>
    <w:rsid w:val="00B50580"/>
    <w:rsid w:val="00B94CD2"/>
    <w:rsid w:val="00B96EB2"/>
    <w:rsid w:val="00BF12BB"/>
    <w:rsid w:val="00BF3EB7"/>
    <w:rsid w:val="00BF5111"/>
    <w:rsid w:val="00C1036D"/>
    <w:rsid w:val="00C34646"/>
    <w:rsid w:val="00C349E1"/>
    <w:rsid w:val="00C46217"/>
    <w:rsid w:val="00C63708"/>
    <w:rsid w:val="00CC4D64"/>
    <w:rsid w:val="00CC62F3"/>
    <w:rsid w:val="00CD4F43"/>
    <w:rsid w:val="00CE064D"/>
    <w:rsid w:val="00CF3A11"/>
    <w:rsid w:val="00CF7AB1"/>
    <w:rsid w:val="00D25B2C"/>
    <w:rsid w:val="00D60D4C"/>
    <w:rsid w:val="00D7682A"/>
    <w:rsid w:val="00D77246"/>
    <w:rsid w:val="00D84888"/>
    <w:rsid w:val="00D878A9"/>
    <w:rsid w:val="00DE044D"/>
    <w:rsid w:val="00DE5A30"/>
    <w:rsid w:val="00DF0A3C"/>
    <w:rsid w:val="00E303C6"/>
    <w:rsid w:val="00E74E87"/>
    <w:rsid w:val="00E861DD"/>
    <w:rsid w:val="00E959BD"/>
    <w:rsid w:val="00EA5D02"/>
    <w:rsid w:val="00EB6A30"/>
    <w:rsid w:val="00EE3E34"/>
    <w:rsid w:val="00F15FDB"/>
    <w:rsid w:val="00F22CC4"/>
    <w:rsid w:val="00F24C21"/>
    <w:rsid w:val="00F3656E"/>
    <w:rsid w:val="00F42677"/>
    <w:rsid w:val="00F62E37"/>
    <w:rsid w:val="00F634AD"/>
    <w:rsid w:val="00F72BC6"/>
    <w:rsid w:val="00F8286F"/>
    <w:rsid w:val="00F85501"/>
    <w:rsid w:val="00FC7C02"/>
    <w:rsid w:val="00FD41D6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EB16"/>
  <w15:docId w15:val="{BF35FE04-5D40-4BDE-8C56-F807383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4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4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4FA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F63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34A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D9B9-9CC2-4EAF-90B2-118128B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Ivana Boras</cp:lastModifiedBy>
  <cp:revision>4</cp:revision>
  <cp:lastPrinted>2020-03-06T09:41:00Z</cp:lastPrinted>
  <dcterms:created xsi:type="dcterms:W3CDTF">2020-03-03T14:18:00Z</dcterms:created>
  <dcterms:modified xsi:type="dcterms:W3CDTF">2020-03-06T09:47:00Z</dcterms:modified>
</cp:coreProperties>
</file>